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CF1E" w14:textId="02A8619C" w:rsidR="008A049F" w:rsidRPr="00164A50" w:rsidRDefault="00A641A3" w:rsidP="009A4025">
      <w:pPr>
        <w:pStyle w:val="Title"/>
        <w:rPr>
          <w:b w:val="0"/>
        </w:rPr>
      </w:pPr>
      <w:r>
        <w:rPr>
          <w:rStyle w:val="Heading1Char"/>
          <w:b/>
        </w:rPr>
        <w:t>Contracting Opportunity</w:t>
      </w:r>
    </w:p>
    <w:p w14:paraId="248EBACB" w14:textId="0E1ACC50" w:rsidR="008A049F" w:rsidRPr="0029223D" w:rsidRDefault="002D6CEE" w:rsidP="008A049F">
      <w:pPr>
        <w:pStyle w:val="Subtitle"/>
      </w:pPr>
      <w:r>
        <w:t>Special Education Dispute Resolution Contractor</w:t>
      </w:r>
    </w:p>
    <w:p w14:paraId="12A0D232" w14:textId="77777777" w:rsidR="008A049F" w:rsidRDefault="008A049F" w:rsidP="008A049F">
      <w:pPr>
        <w:pStyle w:val="PlainText"/>
        <w:ind w:left="720"/>
      </w:pPr>
    </w:p>
    <w:p w14:paraId="3EAC707A" w14:textId="77777777" w:rsidR="0066385B" w:rsidRPr="00917921" w:rsidRDefault="0066385B" w:rsidP="00C77745">
      <w:pPr>
        <w:pStyle w:val="Heading2"/>
      </w:pPr>
      <w:r>
        <w:t>Purpose</w:t>
      </w:r>
    </w:p>
    <w:p w14:paraId="7863C784" w14:textId="55C686AA" w:rsidR="0066385B" w:rsidRDefault="001001B9" w:rsidP="00763B1C">
      <w:pPr>
        <w:spacing w:line="240" w:lineRule="auto"/>
      </w:pPr>
      <w:bookmarkStart w:id="0" w:name="_Hlk115184834"/>
      <w:r>
        <w:t xml:space="preserve">The </w:t>
      </w:r>
      <w:r w:rsidR="00BA29F5">
        <w:t xml:space="preserve">Idaho </w:t>
      </w:r>
      <w:r>
        <w:t xml:space="preserve">Department of Education </w:t>
      </w:r>
      <w:r w:rsidR="464D4565">
        <w:t>seeks letters of interest</w:t>
      </w:r>
      <w:r>
        <w:t xml:space="preserve"> f</w:t>
      </w:r>
      <w:r w:rsidR="002D6CEE">
        <w:t xml:space="preserve">rom individuals to serve as </w:t>
      </w:r>
      <w:r w:rsidR="00306A09">
        <w:t>special education dispute resolution contractors. This position may include serving</w:t>
      </w:r>
      <w:r w:rsidR="00763B1C">
        <w:t xml:space="preserve"> as a</w:t>
      </w:r>
      <w:r w:rsidR="002D6CEE">
        <w:t xml:space="preserve"> facilitator, mediator, complaint investigator, and/or hearing officer</w:t>
      </w:r>
      <w:r>
        <w:t>, as detailed below</w:t>
      </w:r>
      <w:r w:rsidR="004C6DC1">
        <w:t>.</w:t>
      </w:r>
    </w:p>
    <w:p w14:paraId="2F66CA4A" w14:textId="1AC46667" w:rsidR="001001B9" w:rsidRDefault="001001B9" w:rsidP="00763B1C">
      <w:pPr>
        <w:spacing w:line="240" w:lineRule="auto"/>
      </w:pPr>
      <w:r>
        <w:t xml:space="preserve">The contact for this </w:t>
      </w:r>
      <w:r w:rsidR="00A641A3">
        <w:t>contracting opportunity</w:t>
      </w:r>
      <w:r>
        <w:t xml:space="preserve"> is:</w:t>
      </w:r>
    </w:p>
    <w:p w14:paraId="2519ABA8" w14:textId="67CF3F7F" w:rsidR="001001B9" w:rsidRDefault="001001B9" w:rsidP="00763B1C">
      <w:pPr>
        <w:spacing w:after="0" w:line="240" w:lineRule="auto"/>
      </w:pPr>
      <w:r>
        <w:tab/>
      </w:r>
      <w:r w:rsidR="002D6CEE" w:rsidRPr="002D6CEE">
        <w:t>Kimberli Shaner</w:t>
      </w:r>
      <w:r w:rsidRPr="002D6CEE">
        <w:t xml:space="preserve">, </w:t>
      </w:r>
      <w:r w:rsidR="002D6CEE" w:rsidRPr="002D6CEE">
        <w:t>Special Education Dispute Resolution Coordinator</w:t>
      </w:r>
    </w:p>
    <w:p w14:paraId="7FD3626D" w14:textId="37771D7C" w:rsidR="001001B9" w:rsidRDefault="001001B9" w:rsidP="00763B1C">
      <w:pPr>
        <w:spacing w:after="0" w:line="240" w:lineRule="auto"/>
      </w:pPr>
      <w:r>
        <w:tab/>
      </w:r>
      <w:r w:rsidR="002D6CEE">
        <w:t>208-332-6914</w:t>
      </w:r>
    </w:p>
    <w:p w14:paraId="59190528" w14:textId="6CDEB07D" w:rsidR="001001B9" w:rsidRPr="00C5566D" w:rsidRDefault="001001B9" w:rsidP="00763B1C">
      <w:pPr>
        <w:spacing w:after="0" w:line="240" w:lineRule="auto"/>
      </w:pPr>
      <w:r>
        <w:tab/>
      </w:r>
      <w:r w:rsidR="002D6CEE">
        <w:t>kshaner@sde.idaho.gov</w:t>
      </w:r>
      <w:r>
        <w:t xml:space="preserve"> </w:t>
      </w:r>
    </w:p>
    <w:bookmarkEnd w:id="0"/>
    <w:p w14:paraId="3D6DA801" w14:textId="76D5AE30" w:rsidR="001001B9" w:rsidRPr="00917921" w:rsidRDefault="001001B9" w:rsidP="001001B9">
      <w:pPr>
        <w:pStyle w:val="Heading2"/>
      </w:pPr>
      <w:r>
        <w:t>Background</w:t>
      </w:r>
    </w:p>
    <w:p w14:paraId="693A56B1" w14:textId="0B40D019" w:rsidR="00763B1C" w:rsidRDefault="00763B1C" w:rsidP="00763B1C">
      <w:pPr>
        <w:pStyle w:val="Heading2"/>
        <w:rPr>
          <w:b w:val="0"/>
          <w:bCs w:val="0"/>
          <w:caps w:val="0"/>
          <w:color w:val="3B3B3B" w:themeColor="text1" w:themeTint="E6"/>
          <w:sz w:val="24"/>
          <w:szCs w:val="18"/>
        </w:rPr>
      </w:pPr>
      <w:r w:rsidRPr="00763B1C">
        <w:rPr>
          <w:b w:val="0"/>
          <w:bCs w:val="0"/>
          <w:caps w:val="0"/>
          <w:color w:val="3B3B3B" w:themeColor="text1" w:themeTint="E6"/>
          <w:sz w:val="24"/>
          <w:szCs w:val="18"/>
        </w:rPr>
        <w:t>Under the Individuals with Disabilities Education Act (IDEA)</w:t>
      </w:r>
      <w:r>
        <w:rPr>
          <w:b w:val="0"/>
          <w:bCs w:val="0"/>
          <w:caps w:val="0"/>
          <w:color w:val="3B3B3B" w:themeColor="text1" w:themeTint="E6"/>
          <w:sz w:val="24"/>
          <w:szCs w:val="18"/>
        </w:rPr>
        <w:t xml:space="preserve"> CFR 34 </w:t>
      </w:r>
      <w:r w:rsidRPr="00763B1C">
        <w:rPr>
          <w:b w:val="0"/>
          <w:bCs w:val="0"/>
          <w:caps w:val="0"/>
          <w:color w:val="3B3B3B" w:themeColor="text1" w:themeTint="E6"/>
          <w:sz w:val="24"/>
          <w:szCs w:val="18"/>
        </w:rPr>
        <w:t xml:space="preserve">§ 303.430, the Idaho Department of Education is required </w:t>
      </w:r>
      <w:r w:rsidR="00653A12" w:rsidRPr="00763B1C">
        <w:rPr>
          <w:b w:val="0"/>
          <w:bCs w:val="0"/>
          <w:caps w:val="0"/>
          <w:color w:val="3B3B3B" w:themeColor="text1" w:themeTint="E6"/>
          <w:sz w:val="24"/>
          <w:szCs w:val="18"/>
        </w:rPr>
        <w:t>to make</w:t>
      </w:r>
      <w:r w:rsidRPr="00763B1C">
        <w:rPr>
          <w:b w:val="0"/>
          <w:bCs w:val="0"/>
          <w:caps w:val="0"/>
          <w:color w:val="3B3B3B" w:themeColor="text1" w:themeTint="E6"/>
          <w:sz w:val="24"/>
          <w:szCs w:val="18"/>
        </w:rPr>
        <w:t xml:space="preserve"> </w:t>
      </w:r>
      <w:r>
        <w:rPr>
          <w:b w:val="0"/>
          <w:bCs w:val="0"/>
          <w:caps w:val="0"/>
          <w:color w:val="3B3B3B" w:themeColor="text1" w:themeTint="E6"/>
          <w:sz w:val="24"/>
          <w:szCs w:val="18"/>
        </w:rPr>
        <w:t xml:space="preserve">special education </w:t>
      </w:r>
      <w:r w:rsidRPr="00763B1C">
        <w:rPr>
          <w:b w:val="0"/>
          <w:bCs w:val="0"/>
          <w:caps w:val="0"/>
          <w:color w:val="3B3B3B" w:themeColor="text1" w:themeTint="E6"/>
          <w:sz w:val="24"/>
          <w:szCs w:val="18"/>
        </w:rPr>
        <w:t>dispute resolution options available</w:t>
      </w:r>
      <w:r w:rsidR="004950E3">
        <w:rPr>
          <w:b w:val="0"/>
          <w:bCs w:val="0"/>
          <w:caps w:val="0"/>
          <w:color w:val="3B3B3B" w:themeColor="text1" w:themeTint="E6"/>
          <w:sz w:val="24"/>
          <w:szCs w:val="18"/>
        </w:rPr>
        <w:t>, and to keep a list of qualified individuals who support those processes</w:t>
      </w:r>
      <w:r>
        <w:rPr>
          <w:b w:val="0"/>
          <w:bCs w:val="0"/>
          <w:caps w:val="0"/>
          <w:color w:val="3B3B3B" w:themeColor="text1" w:themeTint="E6"/>
          <w:sz w:val="24"/>
          <w:szCs w:val="18"/>
        </w:rPr>
        <w:t>. In Idaho, those options include facilitation, mediation, state administrative complaint investigations, and special education due process hearings</w:t>
      </w:r>
      <w:r w:rsidR="004950E3">
        <w:rPr>
          <w:b w:val="0"/>
          <w:bCs w:val="0"/>
          <w:caps w:val="0"/>
          <w:color w:val="3B3B3B" w:themeColor="text1" w:themeTint="E6"/>
          <w:sz w:val="24"/>
          <w:szCs w:val="18"/>
        </w:rPr>
        <w:t>.</w:t>
      </w:r>
      <w:r>
        <w:rPr>
          <w:b w:val="0"/>
          <w:bCs w:val="0"/>
          <w:caps w:val="0"/>
          <w:color w:val="3B3B3B" w:themeColor="text1" w:themeTint="E6"/>
          <w:sz w:val="24"/>
          <w:szCs w:val="18"/>
        </w:rPr>
        <w:t xml:space="preserve"> </w:t>
      </w:r>
    </w:p>
    <w:p w14:paraId="53A4F7F2" w14:textId="029E48CA" w:rsidR="001001B9" w:rsidRDefault="001001B9" w:rsidP="00763B1C">
      <w:pPr>
        <w:pStyle w:val="Heading2"/>
      </w:pPr>
      <w:r>
        <w:t>timeline</w:t>
      </w:r>
    </w:p>
    <w:p w14:paraId="6852745C" w14:textId="7219786B" w:rsidR="001001B9" w:rsidRDefault="00A641A3" w:rsidP="001001B9">
      <w:r>
        <w:t>Letter of Interest and Resume or CV</w:t>
      </w:r>
      <w:r w:rsidR="001001B9">
        <w:t xml:space="preserve"> are due by:</w:t>
      </w:r>
      <w:r w:rsidR="001001B9">
        <w:tab/>
      </w:r>
      <w:r w:rsidR="00653A12">
        <w:t>April</w:t>
      </w:r>
      <w:r w:rsidR="006C5E15">
        <w:t xml:space="preserve"> 21</w:t>
      </w:r>
      <w:r w:rsidR="00653A12">
        <w:t>, 2025</w:t>
      </w:r>
      <w:r w:rsidR="004950E3">
        <w:t>,</w:t>
      </w:r>
      <w:r w:rsidR="001001B9">
        <w:t xml:space="preserve"> by 5:00 p.m. MT</w:t>
      </w:r>
    </w:p>
    <w:p w14:paraId="03543F81" w14:textId="1D0123D4" w:rsidR="001001B9" w:rsidRDefault="001001B9" w:rsidP="001001B9">
      <w:pPr>
        <w:pStyle w:val="Heading2"/>
      </w:pPr>
      <w:r>
        <w:t>specifications or scope of work</w:t>
      </w:r>
    </w:p>
    <w:p w14:paraId="7F3CE358" w14:textId="77777777" w:rsidR="00306A09" w:rsidRPr="00306A09" w:rsidRDefault="00306A09" w:rsidP="00306A09">
      <w:p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306A09">
        <w:rPr>
          <w:rFonts w:eastAsia="Times New Roman" w:cs="Calibri"/>
          <w:color w:val="auto"/>
          <w:szCs w:val="24"/>
          <w:lang w:eastAsia="en-US"/>
        </w:rPr>
        <w:t>Dispute Resolution Contractors support the Idaho Department of Education in resolving special education disputes through a variety of roles:</w:t>
      </w:r>
    </w:p>
    <w:p w14:paraId="0BB7D05B" w14:textId="77777777" w:rsidR="00306A09" w:rsidRPr="00306A09" w:rsidRDefault="00306A09" w:rsidP="00306A09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t>Facilitators</w:t>
      </w:r>
      <w:r w:rsidRPr="00306A09">
        <w:rPr>
          <w:lang w:eastAsia="en-US"/>
        </w:rPr>
        <w:t xml:space="preserve"> assist IEP teams by guiding discussions and supporting collaborative decision-making in meetings.</w:t>
      </w:r>
    </w:p>
    <w:p w14:paraId="75AEF80C" w14:textId="77777777" w:rsidR="00306A09" w:rsidRPr="00306A09" w:rsidRDefault="00306A09" w:rsidP="00306A09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t>Mediators</w:t>
      </w:r>
      <w:r w:rsidRPr="00306A09">
        <w:rPr>
          <w:lang w:eastAsia="en-US"/>
        </w:rPr>
        <w:t xml:space="preserve"> help resolve disagreements between families and schools through structured, voluntary negotiations that result in legally binding agreements when successful.</w:t>
      </w:r>
    </w:p>
    <w:p w14:paraId="11F5C076" w14:textId="52EF5B4D" w:rsidR="00306A09" w:rsidRPr="00306A09" w:rsidRDefault="00306A09" w:rsidP="00306A09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t>Complaint Investigators</w:t>
      </w:r>
      <w:r w:rsidRPr="00306A09">
        <w:rPr>
          <w:lang w:eastAsia="en-US"/>
        </w:rPr>
        <w:t xml:space="preserve"> review formal written complaints, gather and analyze evidence, and i</w:t>
      </w:r>
      <w:r w:rsidR="003D2425">
        <w:rPr>
          <w:lang w:eastAsia="en-US"/>
        </w:rPr>
        <w:t>dentify</w:t>
      </w:r>
      <w:r w:rsidRPr="00306A09">
        <w:rPr>
          <w:lang w:eastAsia="en-US"/>
        </w:rPr>
        <w:t xml:space="preserve"> findings regarding IDEA compliance.</w:t>
      </w:r>
    </w:p>
    <w:p w14:paraId="1BE517B5" w14:textId="77777777" w:rsidR="00306A09" w:rsidRPr="00306A09" w:rsidRDefault="00306A09" w:rsidP="00306A09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lastRenderedPageBreak/>
        <w:t>Hearing Officers</w:t>
      </w:r>
      <w:r w:rsidRPr="00306A09">
        <w:rPr>
          <w:lang w:eastAsia="en-US"/>
        </w:rPr>
        <w:t xml:space="preserve"> conduct formal due process hearings, evaluate evidence and testimony, and issue binding legal decisions in accordance with federal and state law.</w:t>
      </w:r>
    </w:p>
    <w:p w14:paraId="44D15051" w14:textId="77777777" w:rsidR="00306A09" w:rsidRDefault="00306A09" w:rsidP="00306A09">
      <w:pPr>
        <w:pStyle w:val="ListBullet"/>
        <w:numPr>
          <w:ilvl w:val="0"/>
          <w:numId w:val="0"/>
        </w:numPr>
        <w:ind w:left="144"/>
        <w:rPr>
          <w:lang w:eastAsia="en-US"/>
        </w:rPr>
      </w:pPr>
    </w:p>
    <w:p w14:paraId="3A9BD105" w14:textId="0FB8EFB9" w:rsidR="00306A09" w:rsidRPr="00306A09" w:rsidRDefault="00306A09" w:rsidP="00306A09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306A09">
        <w:rPr>
          <w:lang w:eastAsia="en-US"/>
        </w:rPr>
        <w:t xml:space="preserve">Each contractor may serve in one or more of these roles based on qualifications, assignment needs, and availability. </w:t>
      </w:r>
    </w:p>
    <w:p w14:paraId="332125A3" w14:textId="77777777" w:rsidR="005536B5" w:rsidRDefault="005536B5" w:rsidP="00306A09">
      <w:pPr>
        <w:pStyle w:val="ListBullet"/>
        <w:numPr>
          <w:ilvl w:val="0"/>
          <w:numId w:val="0"/>
        </w:numPr>
        <w:ind w:left="504" w:hanging="360"/>
        <w:rPr>
          <w:lang w:eastAsia="en-US"/>
        </w:rPr>
      </w:pPr>
    </w:p>
    <w:p w14:paraId="69C49400" w14:textId="1AD7E860" w:rsidR="00306A09" w:rsidRPr="00306A09" w:rsidRDefault="005536B5" w:rsidP="00306A09">
      <w:pPr>
        <w:pStyle w:val="ListBullet"/>
        <w:numPr>
          <w:ilvl w:val="0"/>
          <w:numId w:val="0"/>
        </w:numPr>
        <w:ind w:left="504" w:hanging="360"/>
        <w:rPr>
          <w:lang w:eastAsia="en-US"/>
        </w:rPr>
      </w:pPr>
      <w:r w:rsidRPr="00136B6F">
        <w:rPr>
          <w:u w:val="single"/>
          <w:lang w:eastAsia="en-US"/>
        </w:rPr>
        <w:t>Duties include</w:t>
      </w:r>
      <w:r>
        <w:rPr>
          <w:lang w:eastAsia="en-US"/>
        </w:rPr>
        <w:t>:</w:t>
      </w:r>
    </w:p>
    <w:p w14:paraId="06AE895B" w14:textId="2D03118A" w:rsidR="00306A09" w:rsidRPr="005536B5" w:rsidRDefault="00306A09" w:rsidP="00306A09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t>Neutral Case Oversight</w:t>
      </w:r>
      <w:r w:rsidRPr="005536B5">
        <w:rPr>
          <w:lang w:eastAsia="en-US"/>
        </w:rPr>
        <w:t>: Conduct impartial resolution processes while maintaining confidentiality and professionalism.</w:t>
      </w:r>
    </w:p>
    <w:p w14:paraId="62FA70B2" w14:textId="3CC2377A" w:rsidR="005536B5" w:rsidRPr="005536B5" w:rsidRDefault="00306A09" w:rsidP="005536B5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t>Conflict Disclosure</w:t>
      </w:r>
      <w:r w:rsidRPr="005536B5">
        <w:rPr>
          <w:lang w:eastAsia="en-US"/>
        </w:rPr>
        <w:t>: Disclose any current or prior relationships with parties involved in a case to prevent conflicts of interest.</w:t>
      </w:r>
    </w:p>
    <w:p w14:paraId="2F8532D8" w14:textId="77777777" w:rsidR="00306A09" w:rsidRPr="005536B5" w:rsidRDefault="00306A09" w:rsidP="005536B5">
      <w:pPr>
        <w:pStyle w:val="ListBullet"/>
        <w:numPr>
          <w:ilvl w:val="0"/>
          <w:numId w:val="0"/>
        </w:numPr>
        <w:ind w:left="504" w:hanging="360"/>
        <w:rPr>
          <w:lang w:eastAsia="en-US"/>
        </w:rPr>
      </w:pPr>
      <w:r w:rsidRPr="00136B6F">
        <w:rPr>
          <w:b/>
          <w:bCs/>
          <w:lang w:eastAsia="en-US"/>
        </w:rPr>
        <w:t>Timely Documentation</w:t>
      </w:r>
      <w:r w:rsidRPr="005536B5">
        <w:rPr>
          <w:lang w:eastAsia="en-US"/>
        </w:rPr>
        <w:t>:</w:t>
      </w:r>
    </w:p>
    <w:p w14:paraId="23FC6442" w14:textId="77777777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Provide case updates within 7 days of meetings or developments.</w:t>
      </w:r>
    </w:p>
    <w:p w14:paraId="249EFF03" w14:textId="77777777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Submit draft reports 10 days before due dates.</w:t>
      </w:r>
    </w:p>
    <w:p w14:paraId="02A9D110" w14:textId="64D9BBFE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Submit signed agreements, final reports, and closeout materials within 7 days of case closure.</w:t>
      </w:r>
    </w:p>
    <w:p w14:paraId="47C6046A" w14:textId="77777777" w:rsidR="00306A09" w:rsidRPr="005536B5" w:rsidRDefault="00306A09" w:rsidP="005536B5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t>Hearing-Specific Duties</w:t>
      </w:r>
      <w:r w:rsidRPr="005536B5">
        <w:rPr>
          <w:lang w:eastAsia="en-US"/>
        </w:rPr>
        <w:t>:</w:t>
      </w:r>
    </w:p>
    <w:p w14:paraId="12A439CB" w14:textId="77777777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Conduct impartial due process hearings in compliance with federal and state regulations (34 C.F.R. §§ 300.506–.515, IDAPA 08.02.03.109.05).</w:t>
      </w:r>
    </w:p>
    <w:p w14:paraId="4149DEB6" w14:textId="77777777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Submit timely written findings and decisions.</w:t>
      </w:r>
    </w:p>
    <w:p w14:paraId="49F1CE46" w14:textId="77777777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Arrange hearing logistics, notify parties, and instruct school districts on transcript responsibilities.</w:t>
      </w:r>
    </w:p>
    <w:p w14:paraId="5C832B52" w14:textId="786F9A4A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Notify the department of any extensions and provide updated deadlines.</w:t>
      </w:r>
    </w:p>
    <w:p w14:paraId="2F21C51A" w14:textId="77777777" w:rsidR="00306A09" w:rsidRPr="005536B5" w:rsidRDefault="00306A09" w:rsidP="005536B5">
      <w:pPr>
        <w:pStyle w:val="ListBullet"/>
        <w:numPr>
          <w:ilvl w:val="0"/>
          <w:numId w:val="0"/>
        </w:numPr>
        <w:ind w:left="144"/>
        <w:rPr>
          <w:lang w:eastAsia="en-US"/>
        </w:rPr>
      </w:pPr>
      <w:r w:rsidRPr="00136B6F">
        <w:rPr>
          <w:b/>
          <w:bCs/>
          <w:lang w:eastAsia="en-US"/>
        </w:rPr>
        <w:t>Training &amp; Professional Standards</w:t>
      </w:r>
      <w:r w:rsidRPr="005536B5">
        <w:rPr>
          <w:lang w:eastAsia="en-US"/>
        </w:rPr>
        <w:t>:</w:t>
      </w:r>
    </w:p>
    <w:p w14:paraId="3D9347E5" w14:textId="27C56543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Participate in department-required continuing education and training events.</w:t>
      </w:r>
    </w:p>
    <w:p w14:paraId="5639E0AD" w14:textId="4F6E7130" w:rsidR="00306A09" w:rsidRPr="005536B5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Complete a self-evaluation/meeting summary after each case.</w:t>
      </w:r>
    </w:p>
    <w:p w14:paraId="056D2771" w14:textId="77777777" w:rsidR="00306A09" w:rsidRDefault="00306A09" w:rsidP="00306A09">
      <w:pPr>
        <w:pStyle w:val="ListBullet"/>
        <w:rPr>
          <w:lang w:eastAsia="en-US"/>
        </w:rPr>
      </w:pPr>
      <w:r w:rsidRPr="005536B5">
        <w:rPr>
          <w:lang w:eastAsia="en-US"/>
        </w:rPr>
        <w:t>Comply with secure handling of student data and adhere to all applicable data security provisions.</w:t>
      </w:r>
    </w:p>
    <w:p w14:paraId="591C6FDE" w14:textId="77777777" w:rsidR="003D2425" w:rsidRDefault="003D2425" w:rsidP="003D2425">
      <w:pPr>
        <w:pStyle w:val="ListBullet"/>
        <w:numPr>
          <w:ilvl w:val="0"/>
          <w:numId w:val="0"/>
        </w:numPr>
        <w:ind w:left="864" w:hanging="360"/>
        <w:rPr>
          <w:lang w:eastAsia="en-US"/>
        </w:rPr>
      </w:pPr>
    </w:p>
    <w:p w14:paraId="61533401" w14:textId="10E916CD" w:rsidR="003D2425" w:rsidRPr="005536B5" w:rsidRDefault="003D2425" w:rsidP="003D2425">
      <w:pPr>
        <w:pStyle w:val="ListBullet"/>
        <w:numPr>
          <w:ilvl w:val="0"/>
          <w:numId w:val="0"/>
        </w:numPr>
        <w:ind w:left="864" w:hanging="360"/>
        <w:rPr>
          <w:lang w:eastAsia="en-US"/>
        </w:rPr>
      </w:pPr>
      <w:r>
        <w:rPr>
          <w:lang w:eastAsia="en-US"/>
        </w:rPr>
        <w:t xml:space="preserve">Travel may be required. </w:t>
      </w:r>
    </w:p>
    <w:p w14:paraId="4FC83B2E" w14:textId="2BE47148" w:rsidR="001001B9" w:rsidRPr="00917921" w:rsidRDefault="001001B9" w:rsidP="001001B9">
      <w:pPr>
        <w:pStyle w:val="Heading2"/>
      </w:pPr>
      <w:r>
        <w:t>award basis and term</w:t>
      </w:r>
    </w:p>
    <w:p w14:paraId="78BAA4F7" w14:textId="55160003" w:rsidR="001001B9" w:rsidRPr="00C5566D" w:rsidRDefault="008D64AB" w:rsidP="00136B6F">
      <w:pPr>
        <w:spacing w:line="240" w:lineRule="auto"/>
      </w:pPr>
      <w:r>
        <w:t>The contract</w:t>
      </w:r>
      <w:r w:rsidR="004950E3">
        <w:t xml:space="preserve"> hourly rate of pay</w:t>
      </w:r>
      <w:r>
        <w:t xml:space="preserve"> range has been approved </w:t>
      </w:r>
      <w:r w:rsidRPr="00B72EE3">
        <w:t>from [$</w:t>
      </w:r>
      <w:r w:rsidR="004950E3" w:rsidRPr="00B72EE3">
        <w:t>35</w:t>
      </w:r>
      <w:r w:rsidRPr="00B72EE3">
        <w:t xml:space="preserve"> to $</w:t>
      </w:r>
      <w:r w:rsidR="004950E3" w:rsidRPr="00B72EE3">
        <w:t>85</w:t>
      </w:r>
      <w:r w:rsidRPr="00B72EE3">
        <w:t>] commensurate</w:t>
      </w:r>
      <w:r>
        <w:t xml:space="preserve"> with the special education dispute resolution assignment and the number of years of service with the dispute resolution department</w:t>
      </w:r>
      <w:r w:rsidR="004950E3">
        <w:t>; and $150 for due process hearing officer assignments</w:t>
      </w:r>
      <w:r>
        <w:t>. This contract is fully burdened, and no benefits package is included. The contractor</w:t>
      </w:r>
      <w:r w:rsidR="00A641A3">
        <w:t xml:space="preserve"> will be required </w:t>
      </w:r>
      <w:r w:rsidR="00A641A3">
        <w:lastRenderedPageBreak/>
        <w:t>to supply evidence of Commercial General Liability</w:t>
      </w:r>
      <w:r>
        <w:t xml:space="preserve">, </w:t>
      </w:r>
      <w:r w:rsidR="00A641A3">
        <w:t>Professional Liability</w:t>
      </w:r>
      <w:r>
        <w:t>, and Cyber</w:t>
      </w:r>
      <w:r w:rsidR="00A641A3">
        <w:t xml:space="preserve"> </w:t>
      </w:r>
      <w:r w:rsidR="00B4580A">
        <w:t>insurance and</w:t>
      </w:r>
      <w:r w:rsidR="00A641A3">
        <w:t xml:space="preserve"> may be required to supply additional insurance depending upon the Scope of Work. </w:t>
      </w:r>
    </w:p>
    <w:p w14:paraId="6A73C136" w14:textId="620B1F82" w:rsidR="00463B01" w:rsidRPr="00917921" w:rsidRDefault="00463B01" w:rsidP="00463B01">
      <w:pPr>
        <w:pStyle w:val="Heading2"/>
      </w:pPr>
      <w:r>
        <w:t>required submittal items</w:t>
      </w:r>
    </w:p>
    <w:p w14:paraId="75C822D5" w14:textId="7280DE12" w:rsidR="00463B01" w:rsidRDefault="00B4580A" w:rsidP="00B4580A">
      <w:pPr>
        <w:pStyle w:val="ListParagraph"/>
        <w:numPr>
          <w:ilvl w:val="0"/>
          <w:numId w:val="30"/>
        </w:numPr>
      </w:pPr>
      <w:r>
        <w:t>Letter of Interest</w:t>
      </w:r>
    </w:p>
    <w:p w14:paraId="6E04A94F" w14:textId="2639DB9E" w:rsidR="00B4580A" w:rsidRDefault="00B4580A" w:rsidP="00B4580A">
      <w:pPr>
        <w:pStyle w:val="ListParagraph"/>
        <w:numPr>
          <w:ilvl w:val="0"/>
          <w:numId w:val="30"/>
        </w:numPr>
      </w:pPr>
      <w:r>
        <w:t>Resume or Curriculum Vitae</w:t>
      </w:r>
    </w:p>
    <w:p w14:paraId="772A9621" w14:textId="7C1E552E" w:rsidR="00B4580A" w:rsidRDefault="00B4580A" w:rsidP="00B4580A">
      <w:pPr>
        <w:rPr>
          <w:b/>
          <w:bCs/>
          <w:color w:val="17365D" w:themeColor="text2"/>
          <w:sz w:val="28"/>
          <w:szCs w:val="28"/>
        </w:rPr>
      </w:pPr>
      <w:r w:rsidRPr="00B4580A">
        <w:rPr>
          <w:b/>
          <w:bCs/>
          <w:color w:val="17365D" w:themeColor="text2"/>
          <w:sz w:val="28"/>
          <w:szCs w:val="28"/>
        </w:rPr>
        <w:t>MINIMUM QUALIFICATIONS</w:t>
      </w:r>
    </w:p>
    <w:p w14:paraId="23F27C21" w14:textId="77777777" w:rsidR="005536B5" w:rsidRPr="005536B5" w:rsidRDefault="005536B5" w:rsidP="005536B5">
      <w:p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5536B5">
        <w:rPr>
          <w:rFonts w:eastAsia="Times New Roman" w:cs="Calibri"/>
          <w:color w:val="auto"/>
          <w:szCs w:val="24"/>
          <w:lang w:eastAsia="en-US"/>
        </w:rPr>
        <w:t xml:space="preserve">Candidates must meet </w:t>
      </w:r>
      <w:r w:rsidRPr="005536B5">
        <w:rPr>
          <w:rFonts w:eastAsia="Times New Roman" w:cs="Calibri"/>
          <w:b/>
          <w:bCs/>
          <w:color w:val="auto"/>
          <w:szCs w:val="24"/>
          <w:lang w:eastAsia="en-US"/>
        </w:rPr>
        <w:t>one</w:t>
      </w:r>
      <w:r w:rsidRPr="005536B5">
        <w:rPr>
          <w:rFonts w:eastAsia="Times New Roman" w:cs="Calibri"/>
          <w:color w:val="auto"/>
          <w:szCs w:val="24"/>
          <w:lang w:eastAsia="en-US"/>
        </w:rPr>
        <w:t xml:space="preserve"> of the following:</w:t>
      </w:r>
    </w:p>
    <w:p w14:paraId="2890D548" w14:textId="15AA6FE9" w:rsidR="005536B5" w:rsidRPr="008D64AB" w:rsidRDefault="005536B5" w:rsidP="008D64AB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5536B5">
        <w:rPr>
          <w:rFonts w:eastAsia="Times New Roman" w:cs="Calibri"/>
          <w:color w:val="auto"/>
          <w:szCs w:val="24"/>
          <w:lang w:eastAsia="en-US"/>
        </w:rPr>
        <w:t>Master’s degree in special education or a related field with a minimum of five (5) years of experience in a leadership or administrative role in special education</w:t>
      </w:r>
      <w:r w:rsidR="003D2425">
        <w:rPr>
          <w:rFonts w:eastAsia="Times New Roman" w:cs="Calibri"/>
          <w:color w:val="auto"/>
          <w:szCs w:val="24"/>
          <w:lang w:eastAsia="en-US"/>
        </w:rPr>
        <w:t xml:space="preserve"> </w:t>
      </w:r>
      <w:r w:rsidR="003D2425" w:rsidRPr="008D64AB">
        <w:rPr>
          <w:rFonts w:eastAsia="Times New Roman" w:cs="Calibri"/>
          <w:color w:val="auto"/>
          <w:szCs w:val="24"/>
          <w:lang w:eastAsia="en-US"/>
        </w:rPr>
        <w:t>OR equivalent experience</w:t>
      </w:r>
      <w:r w:rsidRPr="008D64AB">
        <w:rPr>
          <w:rFonts w:eastAsia="Times New Roman" w:cs="Calibri"/>
          <w:color w:val="auto"/>
          <w:szCs w:val="24"/>
          <w:lang w:eastAsia="en-US"/>
        </w:rPr>
        <w:t>;</w:t>
      </w:r>
      <w:r w:rsidRPr="008D64AB">
        <w:rPr>
          <w:rFonts w:eastAsia="Times New Roman" w:cs="Calibri"/>
          <w:color w:val="auto"/>
          <w:szCs w:val="24"/>
          <w:lang w:eastAsia="en-US"/>
        </w:rPr>
        <w:br/>
      </w:r>
      <w:r w:rsidRPr="008D64AB">
        <w:rPr>
          <w:rFonts w:eastAsia="Times New Roman" w:cs="Calibri"/>
          <w:b/>
          <w:bCs/>
          <w:color w:val="auto"/>
          <w:szCs w:val="24"/>
          <w:lang w:eastAsia="en-US"/>
        </w:rPr>
        <w:t>OR</w:t>
      </w:r>
    </w:p>
    <w:p w14:paraId="5752F615" w14:textId="77777777" w:rsidR="005536B5" w:rsidRPr="005536B5" w:rsidRDefault="005536B5" w:rsidP="005536B5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5536B5">
        <w:rPr>
          <w:rFonts w:eastAsia="Times New Roman" w:cs="Calibri"/>
          <w:color w:val="auto"/>
          <w:szCs w:val="24"/>
          <w:lang w:eastAsia="en-US"/>
        </w:rPr>
        <w:t>Juris Doctorate (JD) with demonstrated expertise in the Individuals with Disabilities Education Act (IDEA).</w:t>
      </w:r>
    </w:p>
    <w:p w14:paraId="24B7760C" w14:textId="77777777" w:rsidR="005536B5" w:rsidRPr="005536B5" w:rsidRDefault="005536B5" w:rsidP="005536B5">
      <w:p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5536B5">
        <w:rPr>
          <w:rFonts w:eastAsia="Times New Roman" w:cs="Calibri"/>
          <w:b/>
          <w:bCs/>
          <w:color w:val="auto"/>
          <w:szCs w:val="24"/>
          <w:lang w:eastAsia="en-US"/>
        </w:rPr>
        <w:t>In addition, candidates must demonstrate:</w:t>
      </w:r>
    </w:p>
    <w:p w14:paraId="2D386BD9" w14:textId="77777777" w:rsidR="005536B5" w:rsidRPr="005536B5" w:rsidRDefault="005536B5" w:rsidP="005536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5536B5">
        <w:rPr>
          <w:rFonts w:eastAsia="Times New Roman" w:cs="Calibri"/>
          <w:color w:val="auto"/>
          <w:szCs w:val="24"/>
          <w:lang w:eastAsia="en-US"/>
        </w:rPr>
        <w:t>Strong written and verbal communication skills</w:t>
      </w:r>
    </w:p>
    <w:p w14:paraId="688E343A" w14:textId="77777777" w:rsidR="005536B5" w:rsidRPr="005536B5" w:rsidRDefault="005536B5" w:rsidP="005536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5536B5">
        <w:rPr>
          <w:rFonts w:eastAsia="Times New Roman" w:cs="Calibri"/>
          <w:color w:val="auto"/>
          <w:szCs w:val="24"/>
          <w:lang w:eastAsia="en-US"/>
        </w:rPr>
        <w:t>Excellent interpersonal skills to work collaboratively with all parties</w:t>
      </w:r>
    </w:p>
    <w:p w14:paraId="32769174" w14:textId="77777777" w:rsidR="005536B5" w:rsidRPr="005536B5" w:rsidRDefault="005536B5" w:rsidP="005536B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Calibri"/>
          <w:color w:val="auto"/>
          <w:szCs w:val="24"/>
          <w:lang w:eastAsia="en-US"/>
        </w:rPr>
      </w:pPr>
      <w:r w:rsidRPr="005536B5">
        <w:rPr>
          <w:rFonts w:eastAsia="Times New Roman" w:cs="Calibri"/>
          <w:color w:val="auto"/>
          <w:szCs w:val="24"/>
          <w:lang w:eastAsia="en-US"/>
        </w:rPr>
        <w:t xml:space="preserve">The ability to remain </w:t>
      </w:r>
      <w:r w:rsidRPr="005536B5">
        <w:rPr>
          <w:rFonts w:eastAsia="Times New Roman" w:cs="Calibri"/>
          <w:b/>
          <w:bCs/>
          <w:color w:val="auto"/>
          <w:szCs w:val="24"/>
          <w:lang w:eastAsia="en-US"/>
        </w:rPr>
        <w:t>objective</w:t>
      </w:r>
      <w:r w:rsidRPr="005536B5">
        <w:rPr>
          <w:rFonts w:eastAsia="Times New Roman" w:cs="Calibri"/>
          <w:color w:val="auto"/>
          <w:szCs w:val="24"/>
          <w:lang w:eastAsia="en-US"/>
        </w:rPr>
        <w:t xml:space="preserve">, </w:t>
      </w:r>
      <w:r w:rsidRPr="005536B5">
        <w:rPr>
          <w:rFonts w:eastAsia="Times New Roman" w:cs="Calibri"/>
          <w:b/>
          <w:bCs/>
          <w:color w:val="auto"/>
          <w:szCs w:val="24"/>
          <w:lang w:eastAsia="en-US"/>
        </w:rPr>
        <w:t>impartial</w:t>
      </w:r>
      <w:r w:rsidRPr="005536B5">
        <w:rPr>
          <w:rFonts w:eastAsia="Times New Roman" w:cs="Calibri"/>
          <w:color w:val="auto"/>
          <w:szCs w:val="24"/>
          <w:lang w:eastAsia="en-US"/>
        </w:rPr>
        <w:t xml:space="preserve">, and </w:t>
      </w:r>
      <w:r w:rsidRPr="005536B5">
        <w:rPr>
          <w:rFonts w:eastAsia="Times New Roman" w:cs="Calibri"/>
          <w:b/>
          <w:bCs/>
          <w:color w:val="auto"/>
          <w:szCs w:val="24"/>
          <w:lang w:eastAsia="en-US"/>
        </w:rPr>
        <w:t>neutral</w:t>
      </w:r>
      <w:r w:rsidRPr="005536B5">
        <w:rPr>
          <w:rFonts w:eastAsia="Times New Roman" w:cs="Calibri"/>
          <w:color w:val="auto"/>
          <w:szCs w:val="24"/>
          <w:lang w:eastAsia="en-US"/>
        </w:rPr>
        <w:t xml:space="preserve"> in all proceedings</w:t>
      </w:r>
    </w:p>
    <w:p w14:paraId="26364C97" w14:textId="5C47F8DC" w:rsidR="001001B9" w:rsidRPr="00917921" w:rsidRDefault="001001B9" w:rsidP="001001B9">
      <w:pPr>
        <w:pStyle w:val="Heading2"/>
      </w:pPr>
      <w:r>
        <w:t>response</w:t>
      </w:r>
    </w:p>
    <w:p w14:paraId="7FA830FB" w14:textId="7962E88D" w:rsidR="00E404FD" w:rsidRPr="00E404FD" w:rsidRDefault="001001B9" w:rsidP="00E404FD">
      <w:r>
        <w:t xml:space="preserve">Submit </w:t>
      </w:r>
      <w:r w:rsidR="00463B01">
        <w:t xml:space="preserve">all </w:t>
      </w:r>
      <w:r w:rsidR="007255BD">
        <w:t>your letter of interest and resume to</w:t>
      </w:r>
      <w:r w:rsidR="008B0D3D">
        <w:t xml:space="preserve"> </w:t>
      </w:r>
      <w:hyperlink r:id="rId9" w:history="1">
        <w:r w:rsidR="008B0D3D" w:rsidRPr="0058391E">
          <w:rPr>
            <w:rStyle w:val="Hyperlink"/>
          </w:rPr>
          <w:t>kshaner@sde.idaho.gov</w:t>
        </w:r>
      </w:hyperlink>
      <w:r w:rsidR="008B0D3D">
        <w:t xml:space="preserve"> </w:t>
      </w:r>
      <w:r>
        <w:t>prior to the deadline established above.</w:t>
      </w:r>
    </w:p>
    <w:sectPr w:rsidR="00E404FD" w:rsidRPr="00E404FD" w:rsidSect="008A049F">
      <w:headerReference w:type="default" r:id="rId10"/>
      <w:footerReference w:type="default" r:id="rId11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F860" w14:textId="77777777" w:rsidR="004A3B49" w:rsidRDefault="004A3B49">
      <w:pPr>
        <w:spacing w:after="0" w:line="240" w:lineRule="auto"/>
      </w:pPr>
      <w:r>
        <w:separator/>
      </w:r>
    </w:p>
  </w:endnote>
  <w:endnote w:type="continuationSeparator" w:id="0">
    <w:p w14:paraId="4521D7F0" w14:textId="77777777" w:rsidR="004A3B49" w:rsidRDefault="004A3B49">
      <w:pPr>
        <w:spacing w:after="0" w:line="240" w:lineRule="auto"/>
      </w:pPr>
      <w:r>
        <w:continuationSeparator/>
      </w:r>
    </w:p>
  </w:endnote>
  <w:endnote w:type="continuationNotice" w:id="1">
    <w:p w14:paraId="54978A8E" w14:textId="77777777" w:rsidR="00CF4EC4" w:rsidRDefault="00CF4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E3BE" w14:textId="37EBEF9E" w:rsidR="00D96187" w:rsidRPr="005C368C" w:rsidRDefault="008D64AB" w:rsidP="003328C8">
    <w:pPr>
      <w:pStyle w:val="Footer"/>
      <w:pBdr>
        <w:top w:val="single" w:sz="4" w:space="1" w:color="153156" w:themeColor="background2" w:themeShade="40"/>
      </w:pBdr>
    </w:pPr>
    <w:r>
      <w:rPr>
        <w:rFonts w:ascii="Open Sans" w:hAnsi="Open Sans" w:cs="Open Sans"/>
        <w:color w:val="5C5C5C" w:themeColor="text1" w:themeTint="BF"/>
        <w:sz w:val="16"/>
      </w:rPr>
      <w:t>04/07/2025</w:t>
    </w:r>
    <w:r w:rsidR="00D96187"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  <w:r w:rsidR="00A641A3"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Contracting opportunity</w:t>
    </w:r>
    <w:r w:rsidR="001001B9"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 xml:space="preserve"> </w:t>
    </w:r>
    <w:r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–</w:t>
    </w:r>
    <w:r w:rsidR="001001B9"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 xml:space="preserve"> </w:t>
    </w:r>
    <w:r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Special education dispute resolution contractor</w:t>
    </w:r>
  </w:p>
  <w:p w14:paraId="5CB0BC86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FECFB" w14:textId="77777777" w:rsidR="004A3B49" w:rsidRDefault="004A3B49">
      <w:pPr>
        <w:spacing w:after="0" w:line="240" w:lineRule="auto"/>
      </w:pPr>
      <w:r>
        <w:separator/>
      </w:r>
    </w:p>
  </w:footnote>
  <w:footnote w:type="continuationSeparator" w:id="0">
    <w:p w14:paraId="41571D93" w14:textId="77777777" w:rsidR="004A3B49" w:rsidRDefault="004A3B49">
      <w:pPr>
        <w:spacing w:after="0" w:line="240" w:lineRule="auto"/>
      </w:pPr>
      <w:r>
        <w:continuationSeparator/>
      </w:r>
    </w:p>
  </w:footnote>
  <w:footnote w:type="continuationNotice" w:id="1">
    <w:p w14:paraId="5E950890" w14:textId="77777777" w:rsidR="00CF4EC4" w:rsidRDefault="00CF4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B014F" w14:textId="77777777" w:rsidR="00424314" w:rsidRDefault="00646404" w:rsidP="001978AF">
    <w:pPr>
      <w:pStyle w:val="Header"/>
      <w:spacing w:after="360"/>
      <w:ind w:left="-274"/>
      <w:jc w:val="right"/>
    </w:pPr>
    <w:r>
      <w:t xml:space="preserve">  </w:t>
    </w:r>
    <w:r w:rsidR="00DC5D70">
      <w:rPr>
        <w:noProof/>
      </w:rPr>
      <w:drawing>
        <wp:inline distT="0" distB="0" distL="0" distR="0" wp14:anchorId="356D10D4" wp14:editId="342B5E72">
          <wp:extent cx="781050" cy="781050"/>
          <wp:effectExtent l="0" t="0" r="0" b="0"/>
          <wp:docPr id="1" name="Picture 1" descr="Idaho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2" cy="78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37C07"/>
    <w:multiLevelType w:val="multilevel"/>
    <w:tmpl w:val="DD4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51470"/>
    <w:multiLevelType w:val="hybridMultilevel"/>
    <w:tmpl w:val="9796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2BD9"/>
    <w:multiLevelType w:val="multilevel"/>
    <w:tmpl w:val="B2D6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firstLine="0"/>
      </w:pPr>
      <w:rPr>
        <w:rFonts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D85AA6"/>
    <w:multiLevelType w:val="multilevel"/>
    <w:tmpl w:val="B8E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97EDA"/>
    <w:multiLevelType w:val="multilevel"/>
    <w:tmpl w:val="79B6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86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82305">
    <w:abstractNumId w:val="0"/>
  </w:num>
  <w:num w:numId="2" w16cid:durableId="1994336548">
    <w:abstractNumId w:val="27"/>
  </w:num>
  <w:num w:numId="3" w16cid:durableId="555550997">
    <w:abstractNumId w:val="27"/>
    <w:lvlOverride w:ilvl="0">
      <w:startOverride w:val="1"/>
    </w:lvlOverride>
  </w:num>
  <w:num w:numId="4" w16cid:durableId="1844008980">
    <w:abstractNumId w:val="30"/>
  </w:num>
  <w:num w:numId="5" w16cid:durableId="639726828">
    <w:abstractNumId w:val="21"/>
  </w:num>
  <w:num w:numId="6" w16cid:durableId="1633517048">
    <w:abstractNumId w:val="26"/>
  </w:num>
  <w:num w:numId="7" w16cid:durableId="886453340">
    <w:abstractNumId w:val="8"/>
  </w:num>
  <w:num w:numId="8" w16cid:durableId="1014961135">
    <w:abstractNumId w:val="17"/>
  </w:num>
  <w:num w:numId="9" w16cid:durableId="1548951053">
    <w:abstractNumId w:val="24"/>
  </w:num>
  <w:num w:numId="10" w16cid:durableId="1541897086">
    <w:abstractNumId w:val="23"/>
  </w:num>
  <w:num w:numId="11" w16cid:durableId="720978774">
    <w:abstractNumId w:val="4"/>
  </w:num>
  <w:num w:numId="12" w16cid:durableId="2021856901">
    <w:abstractNumId w:val="20"/>
  </w:num>
  <w:num w:numId="13" w16cid:durableId="1635865479">
    <w:abstractNumId w:val="3"/>
  </w:num>
  <w:num w:numId="14" w16cid:durableId="1930038881">
    <w:abstractNumId w:val="29"/>
  </w:num>
  <w:num w:numId="15" w16cid:durableId="184057602">
    <w:abstractNumId w:val="19"/>
  </w:num>
  <w:num w:numId="16" w16cid:durableId="824247289">
    <w:abstractNumId w:val="14"/>
  </w:num>
  <w:num w:numId="17" w16cid:durableId="806972491">
    <w:abstractNumId w:val="18"/>
  </w:num>
  <w:num w:numId="18" w16cid:durableId="814376443">
    <w:abstractNumId w:val="5"/>
  </w:num>
  <w:num w:numId="19" w16cid:durableId="1421948217">
    <w:abstractNumId w:val="11"/>
  </w:num>
  <w:num w:numId="20" w16cid:durableId="1492137695">
    <w:abstractNumId w:val="16"/>
  </w:num>
  <w:num w:numId="21" w16cid:durableId="335041884">
    <w:abstractNumId w:val="6"/>
  </w:num>
  <w:num w:numId="22" w16cid:durableId="1305044914">
    <w:abstractNumId w:val="28"/>
  </w:num>
  <w:num w:numId="23" w16cid:durableId="558322888">
    <w:abstractNumId w:val="13"/>
  </w:num>
  <w:num w:numId="24" w16cid:durableId="921140911">
    <w:abstractNumId w:val="32"/>
  </w:num>
  <w:num w:numId="25" w16cid:durableId="606929402">
    <w:abstractNumId w:val="10"/>
  </w:num>
  <w:num w:numId="26" w16cid:durableId="1989238435">
    <w:abstractNumId w:val="22"/>
  </w:num>
  <w:num w:numId="27" w16cid:durableId="268196438">
    <w:abstractNumId w:val="31"/>
  </w:num>
  <w:num w:numId="28" w16cid:durableId="653141368">
    <w:abstractNumId w:val="12"/>
  </w:num>
  <w:num w:numId="29" w16cid:durableId="1349287244">
    <w:abstractNumId w:val="9"/>
  </w:num>
  <w:num w:numId="30" w16cid:durableId="1481920126">
    <w:abstractNumId w:val="2"/>
  </w:num>
  <w:num w:numId="31" w16cid:durableId="1331760609">
    <w:abstractNumId w:val="7"/>
  </w:num>
  <w:num w:numId="32" w16cid:durableId="682317694">
    <w:abstractNumId w:val="15"/>
  </w:num>
  <w:num w:numId="33" w16cid:durableId="2083407935">
    <w:abstractNumId w:val="1"/>
  </w:num>
  <w:num w:numId="34" w16cid:durableId="1647199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4AD2"/>
    <w:rsid w:val="000160F4"/>
    <w:rsid w:val="00022640"/>
    <w:rsid w:val="00062E3E"/>
    <w:rsid w:val="000716DE"/>
    <w:rsid w:val="00081174"/>
    <w:rsid w:val="00083931"/>
    <w:rsid w:val="0009103D"/>
    <w:rsid w:val="00096168"/>
    <w:rsid w:val="000A035E"/>
    <w:rsid w:val="000C79E4"/>
    <w:rsid w:val="000D004F"/>
    <w:rsid w:val="000E0A96"/>
    <w:rsid w:val="0010006A"/>
    <w:rsid w:val="001001B9"/>
    <w:rsid w:val="00103DBC"/>
    <w:rsid w:val="00112D4A"/>
    <w:rsid w:val="00115B80"/>
    <w:rsid w:val="001168C0"/>
    <w:rsid w:val="001316FF"/>
    <w:rsid w:val="00136B6F"/>
    <w:rsid w:val="00154031"/>
    <w:rsid w:val="00161C6B"/>
    <w:rsid w:val="00164A50"/>
    <w:rsid w:val="00174906"/>
    <w:rsid w:val="00180F84"/>
    <w:rsid w:val="0018288A"/>
    <w:rsid w:val="00186929"/>
    <w:rsid w:val="00196761"/>
    <w:rsid w:val="001978AF"/>
    <w:rsid w:val="001A1FE1"/>
    <w:rsid w:val="001A57ED"/>
    <w:rsid w:val="001B4B0B"/>
    <w:rsid w:val="001B5314"/>
    <w:rsid w:val="001D1C70"/>
    <w:rsid w:val="001F5404"/>
    <w:rsid w:val="002028F4"/>
    <w:rsid w:val="0022341D"/>
    <w:rsid w:val="00241954"/>
    <w:rsid w:val="00245FA3"/>
    <w:rsid w:val="0025689F"/>
    <w:rsid w:val="0026476C"/>
    <w:rsid w:val="0026570B"/>
    <w:rsid w:val="00281739"/>
    <w:rsid w:val="00287B0B"/>
    <w:rsid w:val="0029223D"/>
    <w:rsid w:val="002C4235"/>
    <w:rsid w:val="002C6E2B"/>
    <w:rsid w:val="002D14F2"/>
    <w:rsid w:val="002D6CEE"/>
    <w:rsid w:val="002F1BB5"/>
    <w:rsid w:val="00306A09"/>
    <w:rsid w:val="003123D4"/>
    <w:rsid w:val="003328C8"/>
    <w:rsid w:val="00343BC7"/>
    <w:rsid w:val="00347EBE"/>
    <w:rsid w:val="00362647"/>
    <w:rsid w:val="00385714"/>
    <w:rsid w:val="003A0E14"/>
    <w:rsid w:val="003A5AAF"/>
    <w:rsid w:val="003D0540"/>
    <w:rsid w:val="003D2425"/>
    <w:rsid w:val="003D5F75"/>
    <w:rsid w:val="00424314"/>
    <w:rsid w:val="00463B01"/>
    <w:rsid w:val="004667B3"/>
    <w:rsid w:val="00470408"/>
    <w:rsid w:val="00490228"/>
    <w:rsid w:val="00492A4E"/>
    <w:rsid w:val="004950E3"/>
    <w:rsid w:val="004A3B49"/>
    <w:rsid w:val="004C6DC1"/>
    <w:rsid w:val="004E05E7"/>
    <w:rsid w:val="00510035"/>
    <w:rsid w:val="00550124"/>
    <w:rsid w:val="005536B5"/>
    <w:rsid w:val="005538F4"/>
    <w:rsid w:val="005A104F"/>
    <w:rsid w:val="005B1976"/>
    <w:rsid w:val="005F0046"/>
    <w:rsid w:val="005F2FD9"/>
    <w:rsid w:val="00610640"/>
    <w:rsid w:val="00637DF6"/>
    <w:rsid w:val="006460A3"/>
    <w:rsid w:val="00646404"/>
    <w:rsid w:val="00653A12"/>
    <w:rsid w:val="0066385B"/>
    <w:rsid w:val="006C12B0"/>
    <w:rsid w:val="006C5E15"/>
    <w:rsid w:val="00715120"/>
    <w:rsid w:val="007255BD"/>
    <w:rsid w:val="007334DA"/>
    <w:rsid w:val="00763B1C"/>
    <w:rsid w:val="00775054"/>
    <w:rsid w:val="0077787B"/>
    <w:rsid w:val="00791D1B"/>
    <w:rsid w:val="007B327B"/>
    <w:rsid w:val="007E114F"/>
    <w:rsid w:val="00807835"/>
    <w:rsid w:val="00853C51"/>
    <w:rsid w:val="00867EB7"/>
    <w:rsid w:val="00872142"/>
    <w:rsid w:val="00891DCB"/>
    <w:rsid w:val="0089512B"/>
    <w:rsid w:val="0089514C"/>
    <w:rsid w:val="008A049F"/>
    <w:rsid w:val="008B0D3D"/>
    <w:rsid w:val="008B16D9"/>
    <w:rsid w:val="008D64AB"/>
    <w:rsid w:val="009057E8"/>
    <w:rsid w:val="009079C9"/>
    <w:rsid w:val="00924BE8"/>
    <w:rsid w:val="009262F6"/>
    <w:rsid w:val="00940C28"/>
    <w:rsid w:val="00944B88"/>
    <w:rsid w:val="00956C1B"/>
    <w:rsid w:val="00976BFB"/>
    <w:rsid w:val="009A4025"/>
    <w:rsid w:val="00A01BFA"/>
    <w:rsid w:val="00A052A2"/>
    <w:rsid w:val="00A10162"/>
    <w:rsid w:val="00A16E07"/>
    <w:rsid w:val="00A641A3"/>
    <w:rsid w:val="00AB2FC4"/>
    <w:rsid w:val="00AB4310"/>
    <w:rsid w:val="00AB724D"/>
    <w:rsid w:val="00AD1E5A"/>
    <w:rsid w:val="00AD4B8D"/>
    <w:rsid w:val="00AE0F6C"/>
    <w:rsid w:val="00B33BBD"/>
    <w:rsid w:val="00B36BC8"/>
    <w:rsid w:val="00B4580A"/>
    <w:rsid w:val="00B565A2"/>
    <w:rsid w:val="00B72EE3"/>
    <w:rsid w:val="00B82E2B"/>
    <w:rsid w:val="00B9639E"/>
    <w:rsid w:val="00BA29F5"/>
    <w:rsid w:val="00BB7C99"/>
    <w:rsid w:val="00BC3467"/>
    <w:rsid w:val="00C238E8"/>
    <w:rsid w:val="00C318EC"/>
    <w:rsid w:val="00C53AE9"/>
    <w:rsid w:val="00C55449"/>
    <w:rsid w:val="00C5566D"/>
    <w:rsid w:val="00C77745"/>
    <w:rsid w:val="00C807B2"/>
    <w:rsid w:val="00C81D83"/>
    <w:rsid w:val="00C96EF5"/>
    <w:rsid w:val="00CA2966"/>
    <w:rsid w:val="00CA469D"/>
    <w:rsid w:val="00CA792B"/>
    <w:rsid w:val="00CB7368"/>
    <w:rsid w:val="00CC33FF"/>
    <w:rsid w:val="00CD072C"/>
    <w:rsid w:val="00CE5D9B"/>
    <w:rsid w:val="00CF4EC4"/>
    <w:rsid w:val="00D022E5"/>
    <w:rsid w:val="00D34780"/>
    <w:rsid w:val="00D4768C"/>
    <w:rsid w:val="00D96187"/>
    <w:rsid w:val="00DC5D70"/>
    <w:rsid w:val="00DE52FA"/>
    <w:rsid w:val="00DF27A6"/>
    <w:rsid w:val="00E236A0"/>
    <w:rsid w:val="00E404FD"/>
    <w:rsid w:val="00E80235"/>
    <w:rsid w:val="00EB2D92"/>
    <w:rsid w:val="00EC4660"/>
    <w:rsid w:val="00ED0AC9"/>
    <w:rsid w:val="00ED76D3"/>
    <w:rsid w:val="00EF6B01"/>
    <w:rsid w:val="00F144BF"/>
    <w:rsid w:val="00F174FF"/>
    <w:rsid w:val="00F3077F"/>
    <w:rsid w:val="00F548FB"/>
    <w:rsid w:val="00F559D9"/>
    <w:rsid w:val="00F55C2C"/>
    <w:rsid w:val="00F775BF"/>
    <w:rsid w:val="00F814F1"/>
    <w:rsid w:val="00F81F45"/>
    <w:rsid w:val="00F94617"/>
    <w:rsid w:val="00F94D3A"/>
    <w:rsid w:val="00FA5BEA"/>
    <w:rsid w:val="00FB4A46"/>
    <w:rsid w:val="00FC72DE"/>
    <w:rsid w:val="00FC7748"/>
    <w:rsid w:val="00FF1031"/>
    <w:rsid w:val="1D5EF644"/>
    <w:rsid w:val="44D58608"/>
    <w:rsid w:val="464D4565"/>
    <w:rsid w:val="65129304"/>
    <w:rsid w:val="6C479955"/>
    <w:rsid w:val="7C03E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EAFC6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4A50"/>
    <w:pPr>
      <w:keepNext/>
      <w:keepLines/>
      <w:spacing w:before="360" w:after="240" w:line="240" w:lineRule="auto"/>
      <w:outlineLvl w:val="0"/>
    </w:pPr>
    <w:rPr>
      <w:rFonts w:ascii="Cambria" w:hAnsi="Cambria"/>
      <w:b/>
      <w:bCs/>
      <w:color w:val="0E3354"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7745"/>
    <w:pPr>
      <w:keepNext/>
      <w:keepLines/>
      <w:spacing w:before="360" w:after="240" w:line="240" w:lineRule="auto"/>
      <w:outlineLvl w:val="1"/>
    </w:pPr>
    <w:rPr>
      <w:b/>
      <w:bCs/>
      <w:caps/>
      <w:color w:val="0E3354"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7745"/>
    <w:pPr>
      <w:keepNext/>
      <w:keepLines/>
      <w:spacing w:before="360" w:after="120" w:line="240" w:lineRule="auto"/>
      <w:outlineLvl w:val="2"/>
    </w:pPr>
    <w:rPr>
      <w:rFonts w:eastAsiaTheme="majorEastAsia" w:cstheme="majorBidi"/>
      <w:color w:val="2B63AC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04FD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4646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4A50"/>
    <w:rPr>
      <w:rFonts w:ascii="Cambria" w:hAnsi="Cambria"/>
      <w:b/>
      <w:bCs/>
      <w:color w:val="0E3354"/>
      <w:sz w:val="44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77745"/>
    <w:rPr>
      <w:rFonts w:ascii="Calibri" w:hAnsi="Calibri"/>
      <w:b/>
      <w:bCs/>
      <w:caps/>
      <w:color w:val="0E3354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77745"/>
    <w:rPr>
      <w:rFonts w:ascii="Calibri" w:eastAsiaTheme="majorEastAsia" w:hAnsi="Calibri" w:cstheme="majorBidi"/>
      <w:color w:val="2B63AC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404FD"/>
    <w:rPr>
      <w:rFonts w:ascii="Calibri" w:eastAsiaTheme="majorEastAsia" w:hAnsi="Calibri" w:cstheme="majorBidi"/>
      <w:b/>
      <w:iCs/>
      <w:color w:val="464646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character" w:styleId="UnresolvedMention">
    <w:name w:val="Unresolved Mention"/>
    <w:basedOn w:val="DefaultParagraphFont"/>
    <w:uiPriority w:val="99"/>
    <w:semiHidden/>
    <w:unhideWhenUsed/>
    <w:rsid w:val="001001B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color w:val="3B3B3B" w:themeColor="text1" w:themeTint="E6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F4EC4"/>
    <w:pPr>
      <w:spacing w:after="0" w:line="240" w:lineRule="auto"/>
    </w:pPr>
    <w:rPr>
      <w:rFonts w:ascii="Calibri" w:hAnsi="Calibri"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shaner@sde.idaho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73A82B7-4BDC-4321-A8E5-4A988BFDB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4</TotalTime>
  <Pages>3</Pages>
  <Words>605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Contracting Opportunity Template</vt:lpstr>
    </vt:vector>
  </TitlesOfParts>
  <Company>Idaho State Department of Education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Contracting Opportunity Template</dc:title>
  <dc:subject>Accessibility</dc:subject>
  <dc:creator>lbecker@sde.idaho.gov</dc:creator>
  <cp:keywords>RFQ</cp:keywords>
  <cp:lastModifiedBy>Sharie Monteferrante</cp:lastModifiedBy>
  <cp:revision>3</cp:revision>
  <cp:lastPrinted>2017-07-31T23:01:00Z</cp:lastPrinted>
  <dcterms:created xsi:type="dcterms:W3CDTF">2025-04-04T18:40:00Z</dcterms:created>
  <dcterms:modified xsi:type="dcterms:W3CDTF">2025-04-11T14:15:00Z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  <property fmtid="{D5CDD505-2E9C-101B-9397-08002B2CF9AE}" pid="3" name="GrammarlyDocumentId">
    <vt:lpwstr>dec99d21fc50ebd06c0d05bad142c42d3b4f5efceee2bacf14cb02d88813acb3</vt:lpwstr>
  </property>
</Properties>
</file>