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CF1E" w14:textId="02A8619C" w:rsidR="008A049F" w:rsidRPr="00164A50" w:rsidRDefault="00A641A3" w:rsidP="009A4025">
      <w:pPr>
        <w:pStyle w:val="Title"/>
        <w:rPr>
          <w:b w:val="0"/>
        </w:rPr>
      </w:pPr>
      <w:r>
        <w:rPr>
          <w:rStyle w:val="Heading1Char"/>
          <w:b/>
        </w:rPr>
        <w:t>Contracting Opportunity</w:t>
      </w:r>
    </w:p>
    <w:p w14:paraId="248EBACB" w14:textId="4C3A4183" w:rsidR="008A049F" w:rsidRPr="0029223D" w:rsidRDefault="00547BFA" w:rsidP="008A049F">
      <w:pPr>
        <w:pStyle w:val="Subtitle"/>
      </w:pPr>
      <w:r>
        <w:t>Danielson Framework Training</w:t>
      </w:r>
    </w:p>
    <w:p w14:paraId="12A0D232" w14:textId="77777777" w:rsidR="008A049F" w:rsidRDefault="008A049F" w:rsidP="008A049F">
      <w:pPr>
        <w:pStyle w:val="PlainText"/>
        <w:ind w:left="720"/>
      </w:pPr>
    </w:p>
    <w:p w14:paraId="3EAC707A" w14:textId="77777777" w:rsidR="0066385B" w:rsidRPr="00917921" w:rsidRDefault="0066385B" w:rsidP="00C77745">
      <w:pPr>
        <w:pStyle w:val="Heading2"/>
      </w:pPr>
      <w:r>
        <w:t>Purpose</w:t>
      </w:r>
    </w:p>
    <w:p w14:paraId="7863C784" w14:textId="1E85E308" w:rsidR="0066385B" w:rsidRDefault="001001B9" w:rsidP="001978AF">
      <w:bookmarkStart w:id="0" w:name="_Hlk115184834"/>
      <w:r>
        <w:t xml:space="preserve">The </w:t>
      </w:r>
      <w:r w:rsidR="00BA29F5">
        <w:t xml:space="preserve">Idaho </w:t>
      </w:r>
      <w:r>
        <w:t xml:space="preserve">Department of Education </w:t>
      </w:r>
      <w:r w:rsidR="464D4565">
        <w:t>seeks letters of interest</w:t>
      </w:r>
      <w:r>
        <w:t xml:space="preserve"> for [description of </w:t>
      </w:r>
      <w:r w:rsidR="00A641A3">
        <w:t xml:space="preserve">professional </w:t>
      </w:r>
      <w:r>
        <w:t>service], as detailed below</w:t>
      </w:r>
      <w:r w:rsidR="004C6DC1">
        <w:t>.</w:t>
      </w:r>
    </w:p>
    <w:p w14:paraId="2F66CA4A" w14:textId="1AC46667" w:rsidR="001001B9" w:rsidRDefault="001001B9" w:rsidP="001978AF">
      <w:r>
        <w:t xml:space="preserve">The contact for this </w:t>
      </w:r>
      <w:r w:rsidR="00A641A3">
        <w:t>contracting opportunity</w:t>
      </w:r>
      <w:r>
        <w:t xml:space="preserve"> is:</w:t>
      </w:r>
    </w:p>
    <w:p w14:paraId="2519ABA8" w14:textId="7F2512D3" w:rsidR="001001B9" w:rsidRDefault="001001B9" w:rsidP="001001B9">
      <w:pPr>
        <w:spacing w:line="240" w:lineRule="auto"/>
      </w:pPr>
      <w:r>
        <w:tab/>
      </w:r>
      <w:r w:rsidR="00547BFA" w:rsidRPr="00547BFA">
        <w:t>Carol Roessler</w:t>
      </w:r>
      <w:r w:rsidRPr="00547BFA">
        <w:t xml:space="preserve">, </w:t>
      </w:r>
      <w:r w:rsidR="00547BFA">
        <w:t>Title II-A/ Educator Effectiveness Coordinator</w:t>
      </w:r>
    </w:p>
    <w:p w14:paraId="7FD3626D" w14:textId="65F68387" w:rsidR="001001B9" w:rsidRDefault="001001B9" w:rsidP="001001B9">
      <w:pPr>
        <w:spacing w:line="240" w:lineRule="auto"/>
      </w:pPr>
      <w:r>
        <w:tab/>
      </w:r>
      <w:r w:rsidRPr="00547BFA">
        <w:t>Phone</w:t>
      </w:r>
      <w:r w:rsidR="00547BFA" w:rsidRPr="00547BFA">
        <w:t>:</w:t>
      </w:r>
      <w:r w:rsidR="00547BFA">
        <w:t xml:space="preserve"> 208-332-6889</w:t>
      </w:r>
    </w:p>
    <w:p w14:paraId="59190528" w14:textId="4ACBD9C2" w:rsidR="001001B9" w:rsidRPr="00C5566D" w:rsidRDefault="001001B9" w:rsidP="001001B9">
      <w:pPr>
        <w:spacing w:line="240" w:lineRule="auto"/>
      </w:pPr>
      <w:r>
        <w:tab/>
      </w:r>
      <w:r w:rsidRPr="00547BFA">
        <w:t>Email</w:t>
      </w:r>
      <w:r w:rsidR="00547BFA">
        <w:t>: croessler@sde.idaho.gov</w:t>
      </w:r>
      <w:r>
        <w:t xml:space="preserve"> </w:t>
      </w:r>
    </w:p>
    <w:bookmarkEnd w:id="0"/>
    <w:p w14:paraId="3D6DA801" w14:textId="76D5AE30" w:rsidR="001001B9" w:rsidRDefault="001001B9" w:rsidP="001001B9">
      <w:pPr>
        <w:pStyle w:val="Heading2"/>
      </w:pPr>
      <w:r>
        <w:t>Background</w:t>
      </w:r>
    </w:p>
    <w:p w14:paraId="26F27049" w14:textId="28E8DC5D" w:rsidR="004259FE" w:rsidRPr="004259FE" w:rsidRDefault="004259FE" w:rsidP="004259FE">
      <w:r>
        <w:t>Idaho Code IDAPA 08.08.02.120.01 and IDAPA 08.08.02.120.04.b require that all district evaluation models align with state standards, based on the second edition of Charlotte Danielson’s Framework for Teaching. Evaluators of instructional staff must undergo training in the framework at least once every five years.</w:t>
      </w:r>
    </w:p>
    <w:p w14:paraId="53A4F7F2" w14:textId="1AA63386" w:rsidR="001001B9" w:rsidRDefault="001001B9" w:rsidP="00C77745">
      <w:pPr>
        <w:pStyle w:val="Heading2"/>
      </w:pPr>
      <w:r>
        <w:t>timeline</w:t>
      </w:r>
    </w:p>
    <w:p w14:paraId="6852745C" w14:textId="3298CC36" w:rsidR="001001B9" w:rsidRDefault="00A641A3" w:rsidP="001001B9">
      <w:r>
        <w:t>Letter of Interest and Resume or CV</w:t>
      </w:r>
      <w:r w:rsidR="001001B9">
        <w:t xml:space="preserve"> are due by:</w:t>
      </w:r>
      <w:r w:rsidR="004259FE">
        <w:t xml:space="preserve">    </w:t>
      </w:r>
      <w:r w:rsidR="00547BFA" w:rsidRPr="004259FE">
        <w:rPr>
          <w:b/>
          <w:bCs/>
        </w:rPr>
        <w:t>04/06/2025</w:t>
      </w:r>
      <w:r w:rsidR="001001B9" w:rsidRPr="004259FE">
        <w:rPr>
          <w:b/>
          <w:bCs/>
        </w:rPr>
        <w:t xml:space="preserve"> by 5:00 p.m. MT</w:t>
      </w:r>
    </w:p>
    <w:p w14:paraId="03543F81" w14:textId="1D0123D4" w:rsidR="001001B9" w:rsidRDefault="001001B9" w:rsidP="001001B9">
      <w:pPr>
        <w:pStyle w:val="Heading2"/>
      </w:pPr>
      <w:r>
        <w:t>specifications or scope of work</w:t>
      </w:r>
    </w:p>
    <w:p w14:paraId="0236840A" w14:textId="77777777" w:rsidR="00547BFA" w:rsidRPr="008736FC" w:rsidRDefault="00547BFA" w:rsidP="00547BFA">
      <w:pPr>
        <w:pStyle w:val="TableParagraph"/>
        <w:rPr>
          <w:rFonts w:ascii="Calibri" w:hAnsi="Calibri" w:cs="Calibri"/>
          <w:color w:val="3A3A3A"/>
          <w:sz w:val="24"/>
        </w:rPr>
      </w:pPr>
      <w:r w:rsidRPr="008736FC">
        <w:rPr>
          <w:rFonts w:ascii="Calibri" w:hAnsi="Calibri" w:cs="Calibri"/>
          <w:color w:val="3A3A3A"/>
          <w:sz w:val="24"/>
        </w:rPr>
        <w:t>The Danielson Framework for Teaching workshops series of workshops are designed for administrators, instructional coaches and school leaders, teachers, and other instructional staff. The focus of these workshops is to support all educators to increase understanding of the Danielson Framework for Teaching, and to learn and support one another in evidence based instructional strategies.</w:t>
      </w:r>
    </w:p>
    <w:p w14:paraId="00741E1F" w14:textId="77777777" w:rsidR="00547BFA" w:rsidRPr="008736FC" w:rsidRDefault="00547BFA" w:rsidP="00547BFA">
      <w:pPr>
        <w:pStyle w:val="TableParagraph"/>
        <w:ind w:left="107"/>
        <w:rPr>
          <w:rFonts w:ascii="Calibri" w:hAnsi="Calibri" w:cs="Calibri"/>
          <w:color w:val="3A3A3A"/>
          <w:sz w:val="24"/>
        </w:rPr>
      </w:pPr>
    </w:p>
    <w:p w14:paraId="01B43E5F" w14:textId="77777777" w:rsidR="00547BFA" w:rsidRPr="008736FC" w:rsidRDefault="00547BFA" w:rsidP="00547BFA">
      <w:pPr>
        <w:pStyle w:val="TableParagraph"/>
        <w:rPr>
          <w:rFonts w:ascii="Calibri" w:hAnsi="Calibri" w:cs="Calibri"/>
          <w:color w:val="3A3A3A"/>
          <w:sz w:val="24"/>
        </w:rPr>
      </w:pPr>
      <w:r w:rsidRPr="008736FC">
        <w:rPr>
          <w:rFonts w:ascii="Calibri" w:hAnsi="Calibri" w:cs="Calibri"/>
          <w:color w:val="3A3A3A"/>
          <w:sz w:val="24"/>
        </w:rPr>
        <w:t xml:space="preserve">The Danielson Framework for Teaching facilitators/trainers for these workshops are certified trainers of the Danielson Group. The facilitators are responsible for developing the content of the workshops, conducting the workshops, collaborating with the state Title II-A Coordinator, </w:t>
      </w:r>
      <w:r w:rsidRPr="008736FC">
        <w:rPr>
          <w:rFonts w:ascii="Calibri" w:hAnsi="Calibri" w:cs="Calibri"/>
          <w:color w:val="3A3A3A"/>
          <w:sz w:val="24"/>
        </w:rPr>
        <w:lastRenderedPageBreak/>
        <w:t>receiving input from the participants, and adjusting the workshops and revising the materials, as needed. The facilitators are also the teachers of record for the coursework.</w:t>
      </w:r>
    </w:p>
    <w:p w14:paraId="7AC961F9" w14:textId="77777777" w:rsidR="00547BFA" w:rsidRPr="008736FC" w:rsidRDefault="00547BFA" w:rsidP="00547BFA">
      <w:pPr>
        <w:pStyle w:val="TableParagraph"/>
        <w:ind w:left="107"/>
        <w:rPr>
          <w:rFonts w:ascii="Calibri" w:hAnsi="Calibri" w:cs="Calibri"/>
          <w:color w:val="3A3A3A"/>
          <w:sz w:val="24"/>
        </w:rPr>
      </w:pPr>
    </w:p>
    <w:p w14:paraId="1AC085A1" w14:textId="77777777" w:rsidR="00547BFA" w:rsidRPr="008736FC" w:rsidRDefault="00547BFA" w:rsidP="00547BFA">
      <w:pPr>
        <w:pStyle w:val="TableParagraph"/>
        <w:ind w:left="107"/>
        <w:rPr>
          <w:rFonts w:ascii="Calibri" w:hAnsi="Calibri" w:cs="Calibri"/>
          <w:sz w:val="24"/>
          <w:szCs w:val="24"/>
        </w:rPr>
      </w:pPr>
      <w:r w:rsidRPr="008736FC">
        <w:rPr>
          <w:rFonts w:ascii="Calibri" w:hAnsi="Calibri" w:cs="Calibri"/>
          <w:sz w:val="24"/>
          <w:szCs w:val="24"/>
        </w:rPr>
        <w:t>The Danielson Framework for Teaching administrator workshops consist of three two-day modules focused on Effective Evaluation, offering a scaffolded learning experience for Module One. Module One will be structured as follows: the first two days are designed for beginners, whether new to the profession or to the state of Idaho, while experienced evaluators will attend the last two days. Day 1 will cover the basics of the Danielson Framework for new evaluators. Day 2 will be open to both new and experienced evaluators. Day 3 will dive into advanced content for seasoned evaluators. For Modules Two and Three, all administrators, regardless of experience, will attend together for both days. These three modules fulfill the evaluator training requirements for the Danielson Framework and satisfy the administrator renewal requirements.</w:t>
      </w:r>
    </w:p>
    <w:p w14:paraId="66D32AF5" w14:textId="77777777" w:rsidR="00547BFA" w:rsidRPr="008736FC" w:rsidRDefault="00547BFA" w:rsidP="00547BFA">
      <w:pPr>
        <w:pStyle w:val="TableParagraph"/>
        <w:spacing w:before="50"/>
        <w:ind w:left="68" w:right="417"/>
        <w:jc w:val="both"/>
        <w:rPr>
          <w:rFonts w:ascii="Calibri" w:hAnsi="Calibri" w:cs="Calibri"/>
          <w:sz w:val="24"/>
        </w:rPr>
      </w:pPr>
    </w:p>
    <w:p w14:paraId="4E23DF0E" w14:textId="77777777" w:rsidR="00547BFA" w:rsidRPr="008736FC" w:rsidRDefault="00547BFA" w:rsidP="00547BFA">
      <w:pPr>
        <w:pStyle w:val="TableParagraph"/>
        <w:spacing w:before="50"/>
        <w:ind w:right="417"/>
        <w:jc w:val="both"/>
        <w:rPr>
          <w:rFonts w:ascii="Calibri" w:hAnsi="Calibri" w:cs="Calibri"/>
          <w:sz w:val="24"/>
        </w:rPr>
      </w:pPr>
      <w:r w:rsidRPr="008736FC">
        <w:rPr>
          <w:rFonts w:ascii="Calibri" w:hAnsi="Calibri" w:cs="Calibri"/>
          <w:sz w:val="24"/>
        </w:rPr>
        <w:t>Modules 1-3 workshops include the required coursework components:</w:t>
      </w:r>
    </w:p>
    <w:p w14:paraId="5131050F" w14:textId="77777777" w:rsidR="00547BFA" w:rsidRPr="008736FC" w:rsidRDefault="00547BFA" w:rsidP="00547BFA">
      <w:pPr>
        <w:shd w:val="clear" w:color="auto" w:fill="FEFEFE"/>
        <w:spacing w:before="100" w:beforeAutospacing="1" w:after="100" w:afterAutospacing="1"/>
        <w:outlineLvl w:val="4"/>
        <w:rPr>
          <w:rFonts w:eastAsia="Times New Roman" w:cs="Calibri"/>
          <w:szCs w:val="24"/>
        </w:rPr>
      </w:pPr>
      <w:r w:rsidRPr="008736FC">
        <w:rPr>
          <w:rFonts w:eastAsia="Times New Roman" w:cs="Calibri"/>
          <w:szCs w:val="24"/>
        </w:rPr>
        <w:t>Understanding Professional Practice in Idaho Evaluation</w:t>
      </w:r>
    </w:p>
    <w:p w14:paraId="609BFCA5" w14:textId="77777777" w:rsidR="00547BFA" w:rsidRPr="008736FC" w:rsidRDefault="00547BFA" w:rsidP="00547BFA">
      <w:pPr>
        <w:numPr>
          <w:ilvl w:val="0"/>
          <w:numId w:val="31"/>
        </w:numPr>
        <w:shd w:val="clear" w:color="auto" w:fill="FEFEFE"/>
        <w:spacing w:after="0" w:line="240" w:lineRule="auto"/>
        <w:rPr>
          <w:rFonts w:eastAsia="Times New Roman" w:cs="Calibri"/>
          <w:szCs w:val="24"/>
        </w:rPr>
      </w:pPr>
      <w:r w:rsidRPr="008736FC">
        <w:rPr>
          <w:rFonts w:eastAsia="Times New Roman" w:cs="Calibri"/>
          <w:szCs w:val="24"/>
        </w:rPr>
        <w:t>Gathering accurate evidence and artifacts</w:t>
      </w:r>
    </w:p>
    <w:p w14:paraId="5B382ADE" w14:textId="77777777" w:rsidR="00547BFA" w:rsidRPr="008736FC" w:rsidRDefault="00547BFA" w:rsidP="00547BFA">
      <w:pPr>
        <w:numPr>
          <w:ilvl w:val="0"/>
          <w:numId w:val="31"/>
        </w:numPr>
        <w:shd w:val="clear" w:color="auto" w:fill="FEFEFE"/>
        <w:spacing w:after="0" w:line="240" w:lineRule="auto"/>
        <w:rPr>
          <w:rFonts w:eastAsia="Times New Roman" w:cs="Calibri"/>
          <w:szCs w:val="24"/>
        </w:rPr>
      </w:pPr>
      <w:r w:rsidRPr="008736FC">
        <w:rPr>
          <w:rFonts w:eastAsia="Times New Roman" w:cs="Calibri"/>
          <w:szCs w:val="24"/>
        </w:rPr>
        <w:t>Understanding and using the Framework rubric with fidelity</w:t>
      </w:r>
    </w:p>
    <w:p w14:paraId="14D17A31" w14:textId="77777777" w:rsidR="00547BFA" w:rsidRPr="008736FC" w:rsidRDefault="00547BFA" w:rsidP="00547BFA">
      <w:pPr>
        <w:numPr>
          <w:ilvl w:val="0"/>
          <w:numId w:val="31"/>
        </w:numPr>
        <w:shd w:val="clear" w:color="auto" w:fill="FEFEFE"/>
        <w:spacing w:after="0" w:line="240" w:lineRule="auto"/>
        <w:rPr>
          <w:rFonts w:eastAsia="Times New Roman" w:cs="Calibri"/>
          <w:szCs w:val="24"/>
        </w:rPr>
      </w:pPr>
      <w:r w:rsidRPr="008736FC">
        <w:rPr>
          <w:rFonts w:eastAsia="Times New Roman" w:cs="Calibri"/>
          <w:szCs w:val="24"/>
        </w:rPr>
        <w:t>Proof of calibration and interrater reliability</w:t>
      </w:r>
    </w:p>
    <w:p w14:paraId="434960B9" w14:textId="77777777" w:rsidR="00547BFA" w:rsidRPr="008736FC" w:rsidRDefault="00547BFA" w:rsidP="00547BFA">
      <w:pPr>
        <w:numPr>
          <w:ilvl w:val="0"/>
          <w:numId w:val="31"/>
        </w:numPr>
        <w:shd w:val="clear" w:color="auto" w:fill="FEFEFE"/>
        <w:spacing w:after="0" w:line="240" w:lineRule="auto"/>
        <w:rPr>
          <w:rFonts w:eastAsia="Times New Roman" w:cs="Calibri"/>
          <w:szCs w:val="24"/>
        </w:rPr>
      </w:pPr>
      <w:r w:rsidRPr="008736FC">
        <w:rPr>
          <w:rFonts w:eastAsia="Times New Roman" w:cs="Calibri"/>
          <w:szCs w:val="24"/>
        </w:rPr>
        <w:t>Ability to provide effective feedback for teacher growth</w:t>
      </w:r>
    </w:p>
    <w:p w14:paraId="71107883" w14:textId="77777777" w:rsidR="00547BFA" w:rsidRPr="008736FC" w:rsidRDefault="00547BFA" w:rsidP="00547BFA">
      <w:pPr>
        <w:numPr>
          <w:ilvl w:val="0"/>
          <w:numId w:val="31"/>
        </w:numPr>
        <w:shd w:val="clear" w:color="auto" w:fill="FEFEFE"/>
        <w:spacing w:after="0" w:line="240" w:lineRule="auto"/>
        <w:rPr>
          <w:rFonts w:eastAsia="Times New Roman" w:cs="Calibri"/>
          <w:szCs w:val="24"/>
        </w:rPr>
      </w:pPr>
      <w:r w:rsidRPr="008736FC">
        <w:rPr>
          <w:rFonts w:eastAsia="Times New Roman" w:cs="Calibri"/>
          <w:szCs w:val="24"/>
        </w:rPr>
        <w:t>Understanding and advising teachers on the IPLP and portfolio development</w:t>
      </w:r>
    </w:p>
    <w:p w14:paraId="1FEC3B98" w14:textId="77777777" w:rsidR="00547BFA" w:rsidRPr="008736FC" w:rsidRDefault="00547BFA" w:rsidP="00547BFA">
      <w:pPr>
        <w:shd w:val="clear" w:color="auto" w:fill="FEFEFE"/>
        <w:spacing w:before="100" w:beforeAutospacing="1" w:after="100" w:afterAutospacing="1"/>
        <w:outlineLvl w:val="4"/>
        <w:rPr>
          <w:rFonts w:eastAsia="Times New Roman" w:cs="Calibri"/>
          <w:szCs w:val="24"/>
        </w:rPr>
      </w:pPr>
      <w:r w:rsidRPr="008736FC">
        <w:rPr>
          <w:rFonts w:eastAsia="Times New Roman" w:cs="Calibri"/>
          <w:szCs w:val="24"/>
        </w:rPr>
        <w:t>Understanding Student Achievement/Growth in Idaho Evaluation</w:t>
      </w:r>
    </w:p>
    <w:p w14:paraId="44B6EF64" w14:textId="77777777" w:rsidR="00547BFA" w:rsidRPr="008736FC" w:rsidRDefault="00547BFA" w:rsidP="00547BFA">
      <w:pPr>
        <w:numPr>
          <w:ilvl w:val="0"/>
          <w:numId w:val="32"/>
        </w:numPr>
        <w:shd w:val="clear" w:color="auto" w:fill="FEFEFE"/>
        <w:spacing w:after="0" w:line="240" w:lineRule="auto"/>
        <w:rPr>
          <w:rFonts w:eastAsia="Times New Roman" w:cs="Calibri"/>
          <w:szCs w:val="24"/>
        </w:rPr>
      </w:pPr>
      <w:r w:rsidRPr="008736FC">
        <w:rPr>
          <w:rFonts w:eastAsia="Times New Roman" w:cs="Calibri"/>
          <w:szCs w:val="24"/>
        </w:rPr>
        <w:t>Understanding how student growth measures impact summative evaluation</w:t>
      </w:r>
    </w:p>
    <w:p w14:paraId="390A9982" w14:textId="77777777" w:rsidR="00547BFA" w:rsidRPr="008736FC" w:rsidRDefault="00547BFA" w:rsidP="00547BFA">
      <w:pPr>
        <w:numPr>
          <w:ilvl w:val="0"/>
          <w:numId w:val="32"/>
        </w:numPr>
        <w:shd w:val="clear" w:color="auto" w:fill="FEFEFE"/>
        <w:spacing w:after="0" w:line="240" w:lineRule="auto"/>
        <w:rPr>
          <w:rFonts w:eastAsia="Times New Roman" w:cs="Calibri"/>
          <w:szCs w:val="24"/>
        </w:rPr>
      </w:pPr>
      <w:r w:rsidRPr="008736FC">
        <w:rPr>
          <w:rFonts w:eastAsia="Times New Roman" w:cs="Calibri"/>
          <w:szCs w:val="24"/>
        </w:rPr>
        <w:t>Proficiency in assessment literacy</w:t>
      </w:r>
    </w:p>
    <w:p w14:paraId="66AFE352" w14:textId="77777777" w:rsidR="00547BFA" w:rsidRPr="008736FC" w:rsidRDefault="00547BFA" w:rsidP="00547BFA">
      <w:pPr>
        <w:shd w:val="clear" w:color="auto" w:fill="FEFEFE"/>
        <w:spacing w:after="0" w:line="240" w:lineRule="auto"/>
        <w:ind w:left="720"/>
        <w:rPr>
          <w:rFonts w:eastAsia="Times New Roman" w:cs="Calibri"/>
          <w:szCs w:val="24"/>
        </w:rPr>
      </w:pPr>
    </w:p>
    <w:p w14:paraId="04B0AB7E" w14:textId="77777777" w:rsidR="00547BFA" w:rsidRPr="008736FC" w:rsidRDefault="00547BFA" w:rsidP="00547BFA">
      <w:pPr>
        <w:shd w:val="clear" w:color="auto" w:fill="FEFEFE"/>
        <w:spacing w:after="0" w:line="240" w:lineRule="auto"/>
        <w:ind w:left="720"/>
        <w:rPr>
          <w:rFonts w:eastAsia="Times New Roman" w:cs="Calibri"/>
          <w:szCs w:val="24"/>
        </w:rPr>
      </w:pPr>
    </w:p>
    <w:p w14:paraId="08AFA711" w14:textId="77777777" w:rsidR="00547BFA" w:rsidRPr="008736FC" w:rsidRDefault="00547BFA" w:rsidP="00547BFA">
      <w:pPr>
        <w:shd w:val="clear" w:color="auto" w:fill="FEFEFE"/>
        <w:rPr>
          <w:rFonts w:eastAsia="Times New Roman" w:cs="Calibri"/>
          <w:szCs w:val="24"/>
        </w:rPr>
      </w:pPr>
      <w:r w:rsidRPr="008736FC">
        <w:rPr>
          <w:rFonts w:cs="Calibri"/>
        </w:rPr>
        <w:t>The Danielson Framework for Teaching workshops for instructional coaches and school leaders include six one-day sessions, held virtually throughout the school year. These workshops provide an opportunity for participants from across the state to connect and collaborate on developing and refining best practices related to the framework. Four of the sessions will focus on coaching fundamentals, while two will help experienced coaches enhance their skills. With the state prioritizing effective instructional coaching, coaches can apply what they’ve learned to deliver impactful and sustainable professional development to districts and schools, offering on-site feedback and best practice strategies that teachers can implement in their classrooms to foster student success.</w:t>
      </w:r>
    </w:p>
    <w:p w14:paraId="55A8E3AF" w14:textId="77777777" w:rsidR="00547BFA" w:rsidRPr="008736FC" w:rsidRDefault="00547BFA" w:rsidP="00547BFA">
      <w:pPr>
        <w:rPr>
          <w:rFonts w:cs="Calibri"/>
          <w:b/>
          <w:bCs/>
          <w:color w:val="3A3A3A"/>
        </w:rPr>
      </w:pPr>
    </w:p>
    <w:p w14:paraId="16FA95A4" w14:textId="77777777" w:rsidR="00547BFA" w:rsidRPr="008736FC" w:rsidRDefault="00547BFA" w:rsidP="00547BFA">
      <w:pPr>
        <w:spacing w:after="200"/>
        <w:rPr>
          <w:rFonts w:cs="Calibri"/>
          <w:b/>
          <w:bCs/>
          <w:color w:val="3A3A3A"/>
        </w:rPr>
      </w:pPr>
    </w:p>
    <w:p w14:paraId="4B33865E" w14:textId="7B020158" w:rsidR="00547BFA" w:rsidRPr="008736FC" w:rsidRDefault="00547BFA" w:rsidP="00547BFA">
      <w:pPr>
        <w:spacing w:after="200"/>
        <w:rPr>
          <w:rFonts w:eastAsia="Calibri" w:cs="Calibri"/>
          <w:b/>
          <w:bCs/>
          <w:color w:val="3A3A3A"/>
          <w:szCs w:val="22"/>
        </w:rPr>
      </w:pPr>
      <w:r w:rsidRPr="008736FC">
        <w:rPr>
          <w:rFonts w:cs="Calibri"/>
          <w:b/>
          <w:bCs/>
          <w:color w:val="3A3A3A"/>
        </w:rPr>
        <w:t>Required Training Dates: (30 Days)</w:t>
      </w:r>
    </w:p>
    <w:tbl>
      <w:tblPr>
        <w:tblStyle w:val="TableGrid"/>
        <w:tblW w:w="0" w:type="auto"/>
        <w:tblLook w:val="04A0" w:firstRow="1" w:lastRow="0" w:firstColumn="1" w:lastColumn="0" w:noHBand="0" w:noVBand="1"/>
      </w:tblPr>
      <w:tblGrid>
        <w:gridCol w:w="2337"/>
        <w:gridCol w:w="2337"/>
        <w:gridCol w:w="2338"/>
        <w:gridCol w:w="2338"/>
      </w:tblGrid>
      <w:tr w:rsidR="00547BFA" w:rsidRPr="008736FC" w14:paraId="6D96D4B8" w14:textId="77777777" w:rsidTr="0000171C">
        <w:tc>
          <w:tcPr>
            <w:tcW w:w="4674" w:type="dxa"/>
            <w:gridSpan w:val="2"/>
          </w:tcPr>
          <w:p w14:paraId="12B69D2B" w14:textId="77777777" w:rsidR="00547BFA" w:rsidRPr="008736FC" w:rsidRDefault="00547BFA" w:rsidP="0000171C">
            <w:pPr>
              <w:jc w:val="center"/>
              <w:rPr>
                <w:rFonts w:eastAsia="Times New Roman" w:cs="Calibri"/>
                <w:b/>
                <w:bCs/>
                <w:color w:val="auto"/>
                <w:sz w:val="20"/>
                <w:szCs w:val="20"/>
              </w:rPr>
            </w:pPr>
            <w:r w:rsidRPr="008736FC">
              <w:rPr>
                <w:rFonts w:eastAsia="Times New Roman" w:cs="Calibri"/>
                <w:b/>
                <w:bCs/>
                <w:color w:val="auto"/>
                <w:sz w:val="20"/>
                <w:szCs w:val="20"/>
              </w:rPr>
              <w:t>Effective Evaluation Modules:</w:t>
            </w:r>
          </w:p>
        </w:tc>
        <w:tc>
          <w:tcPr>
            <w:tcW w:w="4676" w:type="dxa"/>
            <w:gridSpan w:val="2"/>
          </w:tcPr>
          <w:p w14:paraId="02B82602" w14:textId="77777777" w:rsidR="00547BFA" w:rsidRPr="008736FC" w:rsidRDefault="00547BFA" w:rsidP="0000171C">
            <w:pPr>
              <w:jc w:val="center"/>
              <w:rPr>
                <w:rFonts w:eastAsia="Times New Roman" w:cs="Calibri"/>
                <w:b/>
                <w:bCs/>
                <w:color w:val="auto"/>
                <w:sz w:val="20"/>
                <w:szCs w:val="20"/>
              </w:rPr>
            </w:pPr>
            <w:r w:rsidRPr="008736FC">
              <w:rPr>
                <w:rFonts w:eastAsia="Times New Roman" w:cs="Calibri"/>
                <w:b/>
                <w:bCs/>
                <w:color w:val="auto"/>
                <w:sz w:val="20"/>
                <w:szCs w:val="20"/>
              </w:rPr>
              <w:t>Instructional Coaches Courses:</w:t>
            </w:r>
          </w:p>
        </w:tc>
      </w:tr>
      <w:tr w:rsidR="00547BFA" w:rsidRPr="008736FC" w14:paraId="7C03F640" w14:textId="77777777" w:rsidTr="0000171C">
        <w:tc>
          <w:tcPr>
            <w:tcW w:w="2337" w:type="dxa"/>
          </w:tcPr>
          <w:p w14:paraId="4E6B8750" w14:textId="77777777" w:rsidR="00547BFA" w:rsidRPr="008736FC" w:rsidRDefault="00547BFA" w:rsidP="0000171C">
            <w:pPr>
              <w:rPr>
                <w:rFonts w:eastAsia="Times New Roman" w:cs="Calibri"/>
                <w:color w:val="auto"/>
                <w:sz w:val="18"/>
              </w:rPr>
            </w:pPr>
            <w:r w:rsidRPr="008736FC">
              <w:rPr>
                <w:rFonts w:eastAsia="Times New Roman" w:cs="Calibri"/>
                <w:color w:val="auto"/>
                <w:sz w:val="18"/>
              </w:rPr>
              <w:t>Region 3 (Boise)</w:t>
            </w:r>
          </w:p>
        </w:tc>
        <w:tc>
          <w:tcPr>
            <w:tcW w:w="2337" w:type="dxa"/>
          </w:tcPr>
          <w:p w14:paraId="0E32EB32" w14:textId="77777777" w:rsidR="00547BFA" w:rsidRPr="008736FC" w:rsidRDefault="00547BFA" w:rsidP="0000171C">
            <w:pPr>
              <w:rPr>
                <w:rFonts w:eastAsia="Times New Roman" w:cs="Calibri"/>
                <w:color w:val="auto"/>
                <w:sz w:val="18"/>
              </w:rPr>
            </w:pPr>
            <w:r w:rsidRPr="008736FC">
              <w:rPr>
                <w:rFonts w:eastAsia="Times New Roman" w:cs="Calibri"/>
                <w:color w:val="auto"/>
                <w:sz w:val="18"/>
              </w:rPr>
              <w:t>Sept 10-12, 2025</w:t>
            </w:r>
          </w:p>
        </w:tc>
        <w:tc>
          <w:tcPr>
            <w:tcW w:w="2338" w:type="dxa"/>
          </w:tcPr>
          <w:p w14:paraId="52759C8D" w14:textId="77777777" w:rsidR="00547BFA" w:rsidRPr="008736FC" w:rsidRDefault="00547BFA" w:rsidP="0000171C">
            <w:pPr>
              <w:rPr>
                <w:rFonts w:eastAsia="Times New Roman" w:cs="Calibri"/>
                <w:b/>
                <w:bCs/>
                <w:color w:val="BF8F00" w:themeColor="accent1" w:themeShade="BF"/>
                <w:sz w:val="20"/>
                <w:szCs w:val="20"/>
              </w:rPr>
            </w:pPr>
            <w:r w:rsidRPr="008736FC">
              <w:rPr>
                <w:rFonts w:eastAsia="Times New Roman" w:cs="Calibri"/>
                <w:color w:val="auto"/>
                <w:sz w:val="18"/>
              </w:rPr>
              <w:t xml:space="preserve">All </w:t>
            </w:r>
            <w:r w:rsidRPr="008736FC">
              <w:rPr>
                <w:rFonts w:eastAsia="Times New Roman" w:cs="Calibri"/>
                <w:sz w:val="18"/>
              </w:rPr>
              <w:t xml:space="preserve">Regions (Virtual) </w:t>
            </w:r>
          </w:p>
        </w:tc>
        <w:tc>
          <w:tcPr>
            <w:tcW w:w="2338" w:type="dxa"/>
          </w:tcPr>
          <w:p w14:paraId="0503C0B1" w14:textId="77777777" w:rsidR="00547BFA" w:rsidRPr="008736FC" w:rsidRDefault="00547BFA" w:rsidP="0000171C">
            <w:pPr>
              <w:rPr>
                <w:rFonts w:eastAsia="Times New Roman" w:cs="Calibri"/>
                <w:color w:val="auto"/>
                <w:sz w:val="18"/>
              </w:rPr>
            </w:pPr>
            <w:r w:rsidRPr="008736FC">
              <w:rPr>
                <w:rFonts w:eastAsia="Times New Roman" w:cs="Calibri"/>
                <w:color w:val="auto"/>
                <w:sz w:val="18"/>
              </w:rPr>
              <w:t>Oct</w:t>
            </w:r>
            <w:r w:rsidRPr="008736FC">
              <w:rPr>
                <w:rFonts w:eastAsia="Times New Roman" w:cs="Calibri"/>
                <w:sz w:val="18"/>
              </w:rPr>
              <w:t xml:space="preserve"> 15, 2025</w:t>
            </w:r>
          </w:p>
        </w:tc>
      </w:tr>
      <w:tr w:rsidR="00547BFA" w:rsidRPr="008736FC" w14:paraId="1D405DEA" w14:textId="77777777" w:rsidTr="0000171C">
        <w:tc>
          <w:tcPr>
            <w:tcW w:w="2337" w:type="dxa"/>
          </w:tcPr>
          <w:p w14:paraId="3F0AFF0B" w14:textId="77777777" w:rsidR="00547BFA" w:rsidRPr="008736FC" w:rsidRDefault="00547BFA" w:rsidP="0000171C">
            <w:pPr>
              <w:rPr>
                <w:rFonts w:eastAsia="Times New Roman" w:cs="Calibri"/>
                <w:color w:val="auto"/>
                <w:sz w:val="18"/>
              </w:rPr>
            </w:pPr>
            <w:r w:rsidRPr="008736FC">
              <w:rPr>
                <w:rFonts w:eastAsia="Times New Roman" w:cs="Calibri"/>
                <w:color w:val="auto"/>
                <w:sz w:val="18"/>
              </w:rPr>
              <w:t xml:space="preserve">Region 6 (Idaho Falls) </w:t>
            </w:r>
          </w:p>
        </w:tc>
        <w:tc>
          <w:tcPr>
            <w:tcW w:w="2337" w:type="dxa"/>
          </w:tcPr>
          <w:p w14:paraId="23E72456" w14:textId="77777777" w:rsidR="00547BFA" w:rsidRPr="008736FC" w:rsidRDefault="00547BFA" w:rsidP="0000171C">
            <w:pPr>
              <w:rPr>
                <w:rFonts w:eastAsia="Times New Roman" w:cs="Calibri"/>
                <w:color w:val="auto"/>
                <w:sz w:val="18"/>
              </w:rPr>
            </w:pPr>
            <w:r w:rsidRPr="008736FC">
              <w:rPr>
                <w:rFonts w:eastAsia="Times New Roman" w:cs="Calibri"/>
                <w:color w:val="auto"/>
                <w:sz w:val="18"/>
              </w:rPr>
              <w:t>Sept 23-24, 2025</w:t>
            </w:r>
          </w:p>
        </w:tc>
        <w:tc>
          <w:tcPr>
            <w:tcW w:w="2338" w:type="dxa"/>
          </w:tcPr>
          <w:p w14:paraId="7569BAD3" w14:textId="77777777" w:rsidR="00547BFA" w:rsidRPr="008736FC" w:rsidRDefault="00547BFA" w:rsidP="0000171C">
            <w:pPr>
              <w:rPr>
                <w:rFonts w:eastAsia="Times New Roman" w:cs="Calibri"/>
                <w:b/>
                <w:bCs/>
                <w:color w:val="BF8F00" w:themeColor="accent1" w:themeShade="BF"/>
                <w:sz w:val="20"/>
                <w:szCs w:val="20"/>
              </w:rPr>
            </w:pPr>
            <w:r w:rsidRPr="008736FC">
              <w:rPr>
                <w:rFonts w:eastAsia="Times New Roman" w:cs="Calibri"/>
                <w:color w:val="auto"/>
                <w:sz w:val="18"/>
              </w:rPr>
              <w:t xml:space="preserve">All </w:t>
            </w:r>
            <w:r w:rsidRPr="008736FC">
              <w:rPr>
                <w:rFonts w:eastAsia="Times New Roman" w:cs="Calibri"/>
                <w:sz w:val="18"/>
              </w:rPr>
              <w:t xml:space="preserve">Regions (Virtual) </w:t>
            </w:r>
          </w:p>
        </w:tc>
        <w:tc>
          <w:tcPr>
            <w:tcW w:w="2338" w:type="dxa"/>
          </w:tcPr>
          <w:p w14:paraId="74312AB5" w14:textId="77777777" w:rsidR="00547BFA" w:rsidRPr="008736FC" w:rsidRDefault="00547BFA" w:rsidP="0000171C">
            <w:pPr>
              <w:rPr>
                <w:rFonts w:eastAsia="Times New Roman" w:cs="Calibri"/>
                <w:color w:val="auto"/>
                <w:sz w:val="18"/>
              </w:rPr>
            </w:pPr>
            <w:r w:rsidRPr="008736FC">
              <w:rPr>
                <w:rFonts w:eastAsia="Times New Roman" w:cs="Calibri"/>
                <w:sz w:val="18"/>
              </w:rPr>
              <w:t>Nov 5, 2025</w:t>
            </w:r>
          </w:p>
        </w:tc>
      </w:tr>
      <w:tr w:rsidR="00547BFA" w:rsidRPr="008736FC" w14:paraId="447E2B1D" w14:textId="77777777" w:rsidTr="0000171C">
        <w:tc>
          <w:tcPr>
            <w:tcW w:w="2337" w:type="dxa"/>
          </w:tcPr>
          <w:p w14:paraId="495F8CBC" w14:textId="77777777" w:rsidR="00547BFA" w:rsidRPr="008736FC" w:rsidRDefault="00547BFA" w:rsidP="0000171C">
            <w:pPr>
              <w:rPr>
                <w:rFonts w:eastAsia="Times New Roman" w:cs="Calibri"/>
                <w:color w:val="auto"/>
                <w:sz w:val="18"/>
              </w:rPr>
            </w:pPr>
            <w:r w:rsidRPr="008736FC">
              <w:rPr>
                <w:rFonts w:eastAsia="Times New Roman" w:cs="Calibri"/>
                <w:color w:val="auto"/>
                <w:sz w:val="18"/>
              </w:rPr>
              <w:t xml:space="preserve">Region 1 (Coeur d’Alene) </w:t>
            </w:r>
          </w:p>
        </w:tc>
        <w:tc>
          <w:tcPr>
            <w:tcW w:w="2337" w:type="dxa"/>
          </w:tcPr>
          <w:p w14:paraId="71A6E102" w14:textId="77777777" w:rsidR="00547BFA" w:rsidRPr="008736FC" w:rsidRDefault="00547BFA" w:rsidP="0000171C">
            <w:pPr>
              <w:rPr>
                <w:rFonts w:eastAsia="Times New Roman" w:cs="Calibri"/>
                <w:color w:val="auto"/>
                <w:sz w:val="18"/>
              </w:rPr>
            </w:pPr>
            <w:r w:rsidRPr="008736FC">
              <w:rPr>
                <w:rFonts w:eastAsia="Times New Roman" w:cs="Calibri"/>
                <w:sz w:val="18"/>
              </w:rPr>
              <w:t>Oct 8-9, 2025</w:t>
            </w:r>
          </w:p>
        </w:tc>
        <w:tc>
          <w:tcPr>
            <w:tcW w:w="2338" w:type="dxa"/>
          </w:tcPr>
          <w:p w14:paraId="2A130C54" w14:textId="77777777" w:rsidR="00547BFA" w:rsidRPr="008736FC" w:rsidRDefault="00547BFA" w:rsidP="0000171C">
            <w:pPr>
              <w:rPr>
                <w:rFonts w:eastAsia="Times New Roman" w:cs="Calibri"/>
                <w:b/>
                <w:bCs/>
                <w:color w:val="BF8F00" w:themeColor="accent1" w:themeShade="BF"/>
                <w:sz w:val="20"/>
                <w:szCs w:val="20"/>
              </w:rPr>
            </w:pPr>
            <w:r w:rsidRPr="008736FC">
              <w:rPr>
                <w:rFonts w:eastAsia="Times New Roman" w:cs="Calibri"/>
                <w:color w:val="auto"/>
                <w:sz w:val="18"/>
              </w:rPr>
              <w:t xml:space="preserve">All </w:t>
            </w:r>
            <w:r w:rsidRPr="008736FC">
              <w:rPr>
                <w:rFonts w:eastAsia="Times New Roman" w:cs="Calibri"/>
                <w:sz w:val="18"/>
              </w:rPr>
              <w:t xml:space="preserve">Regions (Virtual) </w:t>
            </w:r>
          </w:p>
        </w:tc>
        <w:tc>
          <w:tcPr>
            <w:tcW w:w="2338" w:type="dxa"/>
          </w:tcPr>
          <w:p w14:paraId="37CCBD12" w14:textId="77777777" w:rsidR="00547BFA" w:rsidRPr="008736FC" w:rsidRDefault="00547BFA" w:rsidP="0000171C">
            <w:pPr>
              <w:rPr>
                <w:rFonts w:eastAsia="Times New Roman" w:cs="Calibri"/>
                <w:color w:val="auto"/>
                <w:sz w:val="18"/>
              </w:rPr>
            </w:pPr>
            <w:r w:rsidRPr="008736FC">
              <w:rPr>
                <w:rFonts w:eastAsia="Times New Roman" w:cs="Calibri"/>
                <w:sz w:val="18"/>
              </w:rPr>
              <w:t>Dec 10, 2025</w:t>
            </w:r>
          </w:p>
        </w:tc>
      </w:tr>
      <w:tr w:rsidR="00547BFA" w:rsidRPr="008736FC" w14:paraId="1F9DAD7F" w14:textId="77777777" w:rsidTr="0000171C">
        <w:tc>
          <w:tcPr>
            <w:tcW w:w="2337" w:type="dxa"/>
          </w:tcPr>
          <w:p w14:paraId="3748CDA1" w14:textId="77777777" w:rsidR="00547BFA" w:rsidRPr="008736FC" w:rsidRDefault="00547BFA" w:rsidP="0000171C">
            <w:pPr>
              <w:rPr>
                <w:rFonts w:eastAsia="Times New Roman" w:cs="Calibri"/>
                <w:b/>
                <w:bCs/>
                <w:color w:val="auto"/>
                <w:sz w:val="18"/>
              </w:rPr>
            </w:pPr>
            <w:r w:rsidRPr="008736FC">
              <w:rPr>
                <w:rFonts w:eastAsia="Times New Roman" w:cs="Calibri"/>
                <w:color w:val="auto"/>
                <w:sz w:val="18"/>
              </w:rPr>
              <w:t>Region 3 (Boise)</w:t>
            </w:r>
          </w:p>
        </w:tc>
        <w:tc>
          <w:tcPr>
            <w:tcW w:w="2337" w:type="dxa"/>
          </w:tcPr>
          <w:p w14:paraId="7F056802" w14:textId="77777777" w:rsidR="00547BFA" w:rsidRPr="008736FC" w:rsidRDefault="00547BFA" w:rsidP="0000171C">
            <w:pPr>
              <w:rPr>
                <w:rFonts w:eastAsia="Times New Roman" w:cs="Calibri"/>
                <w:color w:val="auto"/>
                <w:sz w:val="18"/>
              </w:rPr>
            </w:pPr>
            <w:r w:rsidRPr="008736FC">
              <w:rPr>
                <w:rFonts w:eastAsia="Times New Roman" w:cs="Calibri"/>
                <w:sz w:val="18"/>
              </w:rPr>
              <w:t>Nov 12-13, 2025</w:t>
            </w:r>
          </w:p>
        </w:tc>
        <w:tc>
          <w:tcPr>
            <w:tcW w:w="2338" w:type="dxa"/>
          </w:tcPr>
          <w:p w14:paraId="0D7422B8" w14:textId="77777777" w:rsidR="00547BFA" w:rsidRPr="008736FC" w:rsidRDefault="00547BFA" w:rsidP="0000171C">
            <w:pPr>
              <w:rPr>
                <w:rFonts w:eastAsia="Times New Roman" w:cs="Calibri"/>
                <w:b/>
                <w:bCs/>
                <w:color w:val="BF8F00" w:themeColor="accent1" w:themeShade="BF"/>
                <w:sz w:val="20"/>
                <w:szCs w:val="20"/>
              </w:rPr>
            </w:pPr>
            <w:r w:rsidRPr="008736FC">
              <w:rPr>
                <w:rFonts w:eastAsia="Times New Roman" w:cs="Calibri"/>
                <w:color w:val="auto"/>
                <w:sz w:val="18"/>
              </w:rPr>
              <w:t xml:space="preserve">All </w:t>
            </w:r>
            <w:r w:rsidRPr="008736FC">
              <w:rPr>
                <w:rFonts w:eastAsia="Times New Roman" w:cs="Calibri"/>
                <w:sz w:val="18"/>
              </w:rPr>
              <w:t xml:space="preserve">Regions (Virtual) </w:t>
            </w:r>
          </w:p>
        </w:tc>
        <w:tc>
          <w:tcPr>
            <w:tcW w:w="2338" w:type="dxa"/>
          </w:tcPr>
          <w:p w14:paraId="3B64A86A" w14:textId="77777777" w:rsidR="00547BFA" w:rsidRPr="008736FC" w:rsidRDefault="00547BFA" w:rsidP="0000171C">
            <w:pPr>
              <w:rPr>
                <w:rFonts w:eastAsia="Times New Roman" w:cs="Calibri"/>
                <w:color w:val="auto"/>
                <w:sz w:val="18"/>
              </w:rPr>
            </w:pPr>
            <w:r w:rsidRPr="008736FC">
              <w:rPr>
                <w:rFonts w:eastAsia="Times New Roman" w:cs="Calibri"/>
                <w:sz w:val="18"/>
              </w:rPr>
              <w:t xml:space="preserve">Jan 14, 2026 </w:t>
            </w:r>
          </w:p>
        </w:tc>
      </w:tr>
      <w:tr w:rsidR="00547BFA" w:rsidRPr="008736FC" w14:paraId="4A4740CE" w14:textId="77777777" w:rsidTr="0000171C">
        <w:tc>
          <w:tcPr>
            <w:tcW w:w="2337" w:type="dxa"/>
          </w:tcPr>
          <w:p w14:paraId="7F15A372" w14:textId="77777777" w:rsidR="00547BFA" w:rsidRPr="008736FC" w:rsidRDefault="00547BFA" w:rsidP="0000171C">
            <w:pPr>
              <w:rPr>
                <w:rFonts w:eastAsia="Times New Roman" w:cs="Calibri"/>
                <w:color w:val="auto"/>
                <w:sz w:val="18"/>
              </w:rPr>
            </w:pPr>
            <w:r w:rsidRPr="008736FC">
              <w:rPr>
                <w:rFonts w:eastAsia="Times New Roman" w:cs="Calibri"/>
                <w:color w:val="auto"/>
                <w:sz w:val="18"/>
              </w:rPr>
              <w:t xml:space="preserve">All </w:t>
            </w:r>
            <w:r w:rsidRPr="008736FC">
              <w:rPr>
                <w:rFonts w:eastAsia="Times New Roman" w:cs="Calibri"/>
                <w:sz w:val="18"/>
              </w:rPr>
              <w:t xml:space="preserve">Regions (Virtual) </w:t>
            </w:r>
          </w:p>
        </w:tc>
        <w:tc>
          <w:tcPr>
            <w:tcW w:w="2337" w:type="dxa"/>
          </w:tcPr>
          <w:p w14:paraId="7C2C4319" w14:textId="77777777" w:rsidR="00547BFA" w:rsidRPr="008736FC" w:rsidRDefault="00547BFA" w:rsidP="0000171C">
            <w:pPr>
              <w:rPr>
                <w:rFonts w:eastAsia="Times New Roman" w:cs="Calibri"/>
                <w:color w:val="auto"/>
                <w:sz w:val="18"/>
              </w:rPr>
            </w:pPr>
            <w:r w:rsidRPr="008736FC">
              <w:rPr>
                <w:rFonts w:eastAsia="Times New Roman" w:cs="Calibri"/>
                <w:sz w:val="18"/>
              </w:rPr>
              <w:t>Dec 3-4, 2025</w:t>
            </w:r>
          </w:p>
        </w:tc>
        <w:tc>
          <w:tcPr>
            <w:tcW w:w="2338" w:type="dxa"/>
          </w:tcPr>
          <w:p w14:paraId="49170B7F" w14:textId="77777777" w:rsidR="00547BFA" w:rsidRPr="008736FC" w:rsidRDefault="00547BFA" w:rsidP="0000171C">
            <w:pPr>
              <w:rPr>
                <w:rFonts w:eastAsia="Times New Roman" w:cs="Calibri"/>
                <w:b/>
                <w:bCs/>
                <w:color w:val="BF8F00" w:themeColor="accent1" w:themeShade="BF"/>
                <w:sz w:val="20"/>
                <w:szCs w:val="20"/>
              </w:rPr>
            </w:pPr>
            <w:r w:rsidRPr="008736FC">
              <w:rPr>
                <w:rFonts w:eastAsia="Times New Roman" w:cs="Calibri"/>
                <w:color w:val="auto"/>
                <w:sz w:val="18"/>
              </w:rPr>
              <w:t xml:space="preserve">All </w:t>
            </w:r>
            <w:r w:rsidRPr="008736FC">
              <w:rPr>
                <w:rFonts w:eastAsia="Times New Roman" w:cs="Calibri"/>
                <w:sz w:val="18"/>
              </w:rPr>
              <w:t xml:space="preserve">Regions (Virtual) </w:t>
            </w:r>
          </w:p>
        </w:tc>
        <w:tc>
          <w:tcPr>
            <w:tcW w:w="2338" w:type="dxa"/>
          </w:tcPr>
          <w:p w14:paraId="1420D2E4" w14:textId="77777777" w:rsidR="00547BFA" w:rsidRPr="008736FC" w:rsidRDefault="00547BFA" w:rsidP="0000171C">
            <w:pPr>
              <w:rPr>
                <w:rFonts w:eastAsia="Times New Roman" w:cs="Calibri"/>
                <w:color w:val="auto"/>
                <w:sz w:val="18"/>
              </w:rPr>
            </w:pPr>
            <w:r w:rsidRPr="008736FC">
              <w:rPr>
                <w:rFonts w:eastAsia="Times New Roman" w:cs="Calibri"/>
                <w:sz w:val="18"/>
              </w:rPr>
              <w:t>Jan 15, 2026</w:t>
            </w:r>
          </w:p>
        </w:tc>
      </w:tr>
      <w:tr w:rsidR="00547BFA" w:rsidRPr="008736FC" w14:paraId="107903C6" w14:textId="77777777" w:rsidTr="0000171C">
        <w:tc>
          <w:tcPr>
            <w:tcW w:w="2337" w:type="dxa"/>
          </w:tcPr>
          <w:p w14:paraId="2A8DFFB8" w14:textId="77777777" w:rsidR="00547BFA" w:rsidRPr="008736FC" w:rsidRDefault="00547BFA" w:rsidP="0000171C">
            <w:pPr>
              <w:rPr>
                <w:rFonts w:eastAsia="Times New Roman" w:cs="Calibri"/>
                <w:b/>
                <w:bCs/>
                <w:color w:val="auto"/>
                <w:sz w:val="18"/>
              </w:rPr>
            </w:pPr>
            <w:r w:rsidRPr="008736FC">
              <w:rPr>
                <w:rFonts w:eastAsia="Times New Roman" w:cs="Calibri"/>
                <w:color w:val="auto"/>
                <w:sz w:val="18"/>
              </w:rPr>
              <w:t xml:space="preserve">All </w:t>
            </w:r>
            <w:r w:rsidRPr="008736FC">
              <w:rPr>
                <w:rFonts w:eastAsia="Times New Roman" w:cs="Calibri"/>
                <w:sz w:val="18"/>
              </w:rPr>
              <w:t>Regions (Virtual)</w:t>
            </w:r>
          </w:p>
        </w:tc>
        <w:tc>
          <w:tcPr>
            <w:tcW w:w="2337" w:type="dxa"/>
          </w:tcPr>
          <w:p w14:paraId="24980A5D" w14:textId="77777777" w:rsidR="00547BFA" w:rsidRPr="008736FC" w:rsidRDefault="00547BFA" w:rsidP="0000171C">
            <w:pPr>
              <w:rPr>
                <w:rFonts w:eastAsia="Times New Roman" w:cs="Calibri"/>
                <w:color w:val="auto"/>
                <w:sz w:val="18"/>
              </w:rPr>
            </w:pPr>
            <w:r w:rsidRPr="008736FC">
              <w:rPr>
                <w:rFonts w:eastAsia="Times New Roman" w:cs="Calibri"/>
                <w:sz w:val="18"/>
              </w:rPr>
              <w:t>Jan 21-22, 2026</w:t>
            </w:r>
          </w:p>
        </w:tc>
        <w:tc>
          <w:tcPr>
            <w:tcW w:w="2338" w:type="dxa"/>
          </w:tcPr>
          <w:p w14:paraId="77D2676D" w14:textId="77777777" w:rsidR="00547BFA" w:rsidRPr="008736FC" w:rsidRDefault="00547BFA" w:rsidP="0000171C">
            <w:pPr>
              <w:rPr>
                <w:rFonts w:eastAsia="Times New Roman" w:cs="Calibri"/>
                <w:b/>
                <w:bCs/>
                <w:color w:val="BF8F00" w:themeColor="accent1" w:themeShade="BF"/>
                <w:sz w:val="20"/>
                <w:szCs w:val="20"/>
              </w:rPr>
            </w:pPr>
            <w:r w:rsidRPr="008736FC">
              <w:rPr>
                <w:rFonts w:eastAsia="Times New Roman" w:cs="Calibri"/>
                <w:color w:val="auto"/>
                <w:sz w:val="18"/>
              </w:rPr>
              <w:t xml:space="preserve">All </w:t>
            </w:r>
            <w:r w:rsidRPr="008736FC">
              <w:rPr>
                <w:rFonts w:eastAsia="Times New Roman" w:cs="Calibri"/>
                <w:sz w:val="18"/>
              </w:rPr>
              <w:t xml:space="preserve">Regions (Virtual) </w:t>
            </w:r>
          </w:p>
        </w:tc>
        <w:tc>
          <w:tcPr>
            <w:tcW w:w="2338" w:type="dxa"/>
          </w:tcPr>
          <w:p w14:paraId="5DD6B20A" w14:textId="77777777" w:rsidR="00547BFA" w:rsidRPr="008736FC" w:rsidRDefault="00547BFA" w:rsidP="0000171C">
            <w:pPr>
              <w:rPr>
                <w:rFonts w:eastAsia="Times New Roman" w:cs="Calibri"/>
                <w:color w:val="auto"/>
                <w:sz w:val="18"/>
              </w:rPr>
            </w:pPr>
            <w:r w:rsidRPr="008736FC">
              <w:rPr>
                <w:rFonts w:eastAsia="Times New Roman" w:cs="Calibri"/>
                <w:sz w:val="18"/>
              </w:rPr>
              <w:t xml:space="preserve">March 18, 2026 </w:t>
            </w:r>
          </w:p>
        </w:tc>
      </w:tr>
      <w:tr w:rsidR="00547BFA" w:rsidRPr="008736FC" w14:paraId="32C813A7" w14:textId="77777777" w:rsidTr="0000171C">
        <w:tc>
          <w:tcPr>
            <w:tcW w:w="2337" w:type="dxa"/>
          </w:tcPr>
          <w:p w14:paraId="0D928A1D" w14:textId="77777777" w:rsidR="00547BFA" w:rsidRPr="008736FC" w:rsidRDefault="00547BFA" w:rsidP="0000171C">
            <w:pPr>
              <w:rPr>
                <w:rFonts w:eastAsia="Times New Roman" w:cs="Calibri"/>
                <w:b/>
                <w:bCs/>
                <w:color w:val="auto"/>
                <w:sz w:val="18"/>
              </w:rPr>
            </w:pPr>
            <w:r w:rsidRPr="008736FC">
              <w:rPr>
                <w:rFonts w:eastAsia="Times New Roman" w:cs="Calibri"/>
                <w:color w:val="auto"/>
                <w:sz w:val="18"/>
              </w:rPr>
              <w:t>Region 3 (Boise)</w:t>
            </w:r>
          </w:p>
        </w:tc>
        <w:tc>
          <w:tcPr>
            <w:tcW w:w="2337" w:type="dxa"/>
          </w:tcPr>
          <w:p w14:paraId="49C94371" w14:textId="77777777" w:rsidR="00547BFA" w:rsidRPr="008736FC" w:rsidRDefault="00547BFA" w:rsidP="0000171C">
            <w:pPr>
              <w:rPr>
                <w:rFonts w:eastAsia="Times New Roman" w:cs="Calibri"/>
                <w:color w:val="auto"/>
                <w:sz w:val="18"/>
              </w:rPr>
            </w:pPr>
            <w:r w:rsidRPr="008736FC">
              <w:rPr>
                <w:rFonts w:eastAsia="Times New Roman" w:cs="Calibri"/>
                <w:sz w:val="18"/>
              </w:rPr>
              <w:t>March 11-12, 2026</w:t>
            </w:r>
          </w:p>
        </w:tc>
        <w:tc>
          <w:tcPr>
            <w:tcW w:w="2338" w:type="dxa"/>
          </w:tcPr>
          <w:p w14:paraId="492D15C6" w14:textId="77777777" w:rsidR="00547BFA" w:rsidRPr="008736FC" w:rsidRDefault="00547BFA" w:rsidP="0000171C">
            <w:pPr>
              <w:rPr>
                <w:rFonts w:eastAsia="Times New Roman" w:cs="Calibri"/>
                <w:b/>
                <w:bCs/>
                <w:color w:val="BF8F00" w:themeColor="accent1" w:themeShade="BF"/>
                <w:sz w:val="20"/>
                <w:szCs w:val="20"/>
              </w:rPr>
            </w:pPr>
          </w:p>
        </w:tc>
        <w:tc>
          <w:tcPr>
            <w:tcW w:w="2338" w:type="dxa"/>
          </w:tcPr>
          <w:p w14:paraId="61A930F5" w14:textId="77777777" w:rsidR="00547BFA" w:rsidRPr="008736FC" w:rsidRDefault="00547BFA" w:rsidP="0000171C">
            <w:pPr>
              <w:rPr>
                <w:rFonts w:eastAsia="Times New Roman" w:cs="Calibri"/>
                <w:color w:val="auto"/>
                <w:sz w:val="18"/>
              </w:rPr>
            </w:pPr>
          </w:p>
        </w:tc>
      </w:tr>
      <w:tr w:rsidR="00547BFA" w:rsidRPr="008736FC" w14:paraId="2836F67E" w14:textId="77777777" w:rsidTr="0000171C">
        <w:tc>
          <w:tcPr>
            <w:tcW w:w="2337" w:type="dxa"/>
          </w:tcPr>
          <w:p w14:paraId="40A6AFAE" w14:textId="77777777" w:rsidR="00547BFA" w:rsidRPr="008736FC" w:rsidRDefault="00547BFA" w:rsidP="0000171C">
            <w:pPr>
              <w:rPr>
                <w:rFonts w:eastAsia="Times New Roman" w:cs="Calibri"/>
                <w:sz w:val="18"/>
              </w:rPr>
            </w:pPr>
            <w:r w:rsidRPr="008736FC">
              <w:rPr>
                <w:rFonts w:eastAsia="Times New Roman" w:cs="Calibri"/>
                <w:color w:val="auto"/>
                <w:sz w:val="18"/>
              </w:rPr>
              <w:t xml:space="preserve">All </w:t>
            </w:r>
            <w:r w:rsidRPr="008736FC">
              <w:rPr>
                <w:rFonts w:eastAsia="Times New Roman" w:cs="Calibri"/>
                <w:sz w:val="18"/>
              </w:rPr>
              <w:t>Regions (Virtual)</w:t>
            </w:r>
          </w:p>
        </w:tc>
        <w:tc>
          <w:tcPr>
            <w:tcW w:w="2337" w:type="dxa"/>
          </w:tcPr>
          <w:p w14:paraId="55AE8106" w14:textId="77777777" w:rsidR="00547BFA" w:rsidRPr="008736FC" w:rsidRDefault="00547BFA" w:rsidP="0000171C">
            <w:pPr>
              <w:rPr>
                <w:rFonts w:eastAsia="Times New Roman" w:cs="Calibri"/>
                <w:sz w:val="18"/>
              </w:rPr>
            </w:pPr>
            <w:r w:rsidRPr="008736FC">
              <w:rPr>
                <w:rFonts w:eastAsia="Times New Roman" w:cs="Calibri"/>
                <w:sz w:val="18"/>
              </w:rPr>
              <w:t>June 17-19, 2026</w:t>
            </w:r>
          </w:p>
        </w:tc>
        <w:tc>
          <w:tcPr>
            <w:tcW w:w="2338" w:type="dxa"/>
          </w:tcPr>
          <w:p w14:paraId="2298A2B7" w14:textId="77777777" w:rsidR="00547BFA" w:rsidRPr="008736FC" w:rsidRDefault="00547BFA" w:rsidP="0000171C">
            <w:pPr>
              <w:rPr>
                <w:rFonts w:eastAsia="Times New Roman" w:cs="Calibri"/>
                <w:b/>
                <w:bCs/>
                <w:color w:val="BF8F00" w:themeColor="accent1" w:themeShade="BF"/>
                <w:sz w:val="20"/>
                <w:szCs w:val="20"/>
              </w:rPr>
            </w:pPr>
          </w:p>
        </w:tc>
        <w:tc>
          <w:tcPr>
            <w:tcW w:w="2338" w:type="dxa"/>
          </w:tcPr>
          <w:p w14:paraId="54A710A9" w14:textId="77777777" w:rsidR="00547BFA" w:rsidRPr="008736FC" w:rsidRDefault="00547BFA" w:rsidP="0000171C">
            <w:pPr>
              <w:rPr>
                <w:rFonts w:eastAsia="Times New Roman" w:cs="Calibri"/>
                <w:color w:val="auto"/>
                <w:sz w:val="18"/>
              </w:rPr>
            </w:pPr>
          </w:p>
        </w:tc>
      </w:tr>
      <w:tr w:rsidR="00547BFA" w:rsidRPr="008736FC" w14:paraId="6110F00C" w14:textId="77777777" w:rsidTr="0000171C">
        <w:tc>
          <w:tcPr>
            <w:tcW w:w="2337" w:type="dxa"/>
          </w:tcPr>
          <w:p w14:paraId="5F9B041B" w14:textId="77777777" w:rsidR="00547BFA" w:rsidRPr="008736FC" w:rsidRDefault="00547BFA" w:rsidP="0000171C">
            <w:pPr>
              <w:rPr>
                <w:rFonts w:eastAsia="Times New Roman" w:cs="Calibri"/>
                <w:sz w:val="18"/>
              </w:rPr>
            </w:pPr>
            <w:r w:rsidRPr="008736FC">
              <w:rPr>
                <w:rFonts w:eastAsia="Times New Roman" w:cs="Calibri"/>
                <w:color w:val="auto"/>
                <w:sz w:val="18"/>
              </w:rPr>
              <w:t xml:space="preserve">All </w:t>
            </w:r>
            <w:r w:rsidRPr="008736FC">
              <w:rPr>
                <w:rFonts w:eastAsia="Times New Roman" w:cs="Calibri"/>
                <w:sz w:val="18"/>
              </w:rPr>
              <w:t>Regions (Virtual)</w:t>
            </w:r>
          </w:p>
        </w:tc>
        <w:tc>
          <w:tcPr>
            <w:tcW w:w="2337" w:type="dxa"/>
          </w:tcPr>
          <w:p w14:paraId="58F972D3" w14:textId="77777777" w:rsidR="00547BFA" w:rsidRPr="008736FC" w:rsidRDefault="00547BFA" w:rsidP="0000171C">
            <w:pPr>
              <w:rPr>
                <w:rFonts w:eastAsia="Times New Roman" w:cs="Calibri"/>
                <w:sz w:val="18"/>
              </w:rPr>
            </w:pPr>
            <w:r w:rsidRPr="008736FC">
              <w:rPr>
                <w:rFonts w:eastAsia="Times New Roman" w:cs="Calibri"/>
                <w:sz w:val="18"/>
              </w:rPr>
              <w:t>June 22-23, 2026</w:t>
            </w:r>
          </w:p>
        </w:tc>
        <w:tc>
          <w:tcPr>
            <w:tcW w:w="2338" w:type="dxa"/>
          </w:tcPr>
          <w:p w14:paraId="74B6DB85" w14:textId="77777777" w:rsidR="00547BFA" w:rsidRPr="008736FC" w:rsidRDefault="00547BFA" w:rsidP="0000171C">
            <w:pPr>
              <w:rPr>
                <w:rFonts w:eastAsia="Times New Roman" w:cs="Calibri"/>
                <w:b/>
                <w:bCs/>
                <w:color w:val="BF8F00" w:themeColor="accent1" w:themeShade="BF"/>
                <w:sz w:val="20"/>
                <w:szCs w:val="20"/>
              </w:rPr>
            </w:pPr>
          </w:p>
        </w:tc>
        <w:tc>
          <w:tcPr>
            <w:tcW w:w="2338" w:type="dxa"/>
          </w:tcPr>
          <w:p w14:paraId="26107979" w14:textId="77777777" w:rsidR="00547BFA" w:rsidRPr="008736FC" w:rsidRDefault="00547BFA" w:rsidP="0000171C">
            <w:pPr>
              <w:rPr>
                <w:rFonts w:eastAsia="Times New Roman" w:cs="Calibri"/>
                <w:color w:val="auto"/>
                <w:sz w:val="18"/>
              </w:rPr>
            </w:pPr>
          </w:p>
        </w:tc>
      </w:tr>
      <w:tr w:rsidR="00547BFA" w:rsidRPr="008736FC" w14:paraId="4D8A14CD" w14:textId="77777777" w:rsidTr="0000171C">
        <w:tc>
          <w:tcPr>
            <w:tcW w:w="2337" w:type="dxa"/>
          </w:tcPr>
          <w:p w14:paraId="61D5D513" w14:textId="77777777" w:rsidR="00547BFA" w:rsidRPr="008736FC" w:rsidRDefault="00547BFA" w:rsidP="0000171C">
            <w:pPr>
              <w:rPr>
                <w:rFonts w:eastAsia="Times New Roman" w:cs="Calibri"/>
                <w:sz w:val="18"/>
              </w:rPr>
            </w:pPr>
            <w:r w:rsidRPr="008736FC">
              <w:rPr>
                <w:rFonts w:eastAsia="Times New Roman" w:cs="Calibri"/>
                <w:color w:val="auto"/>
                <w:sz w:val="18"/>
              </w:rPr>
              <w:t xml:space="preserve">All </w:t>
            </w:r>
            <w:r w:rsidRPr="008736FC">
              <w:rPr>
                <w:rFonts w:eastAsia="Times New Roman" w:cs="Calibri"/>
                <w:sz w:val="18"/>
              </w:rPr>
              <w:t>Regions (Virtual)</w:t>
            </w:r>
          </w:p>
        </w:tc>
        <w:tc>
          <w:tcPr>
            <w:tcW w:w="2337" w:type="dxa"/>
          </w:tcPr>
          <w:p w14:paraId="635C1623" w14:textId="77777777" w:rsidR="00547BFA" w:rsidRPr="008736FC" w:rsidRDefault="00547BFA" w:rsidP="0000171C">
            <w:pPr>
              <w:rPr>
                <w:rFonts w:eastAsia="Times New Roman" w:cs="Calibri"/>
                <w:sz w:val="18"/>
              </w:rPr>
            </w:pPr>
            <w:r w:rsidRPr="008736FC">
              <w:rPr>
                <w:rFonts w:eastAsia="Times New Roman" w:cs="Calibri"/>
                <w:sz w:val="18"/>
              </w:rPr>
              <w:t>June 24-25, 2026</w:t>
            </w:r>
          </w:p>
        </w:tc>
        <w:tc>
          <w:tcPr>
            <w:tcW w:w="2338" w:type="dxa"/>
          </w:tcPr>
          <w:p w14:paraId="5ECA2D8E" w14:textId="77777777" w:rsidR="00547BFA" w:rsidRPr="008736FC" w:rsidRDefault="00547BFA" w:rsidP="0000171C">
            <w:pPr>
              <w:rPr>
                <w:rFonts w:eastAsia="Times New Roman" w:cs="Calibri"/>
                <w:b/>
                <w:bCs/>
                <w:color w:val="BF8F00" w:themeColor="accent1" w:themeShade="BF"/>
                <w:sz w:val="20"/>
                <w:szCs w:val="20"/>
              </w:rPr>
            </w:pPr>
          </w:p>
        </w:tc>
        <w:tc>
          <w:tcPr>
            <w:tcW w:w="2338" w:type="dxa"/>
          </w:tcPr>
          <w:p w14:paraId="0D428F8F" w14:textId="77777777" w:rsidR="00547BFA" w:rsidRPr="008736FC" w:rsidRDefault="00547BFA" w:rsidP="0000171C">
            <w:pPr>
              <w:rPr>
                <w:rFonts w:eastAsia="Times New Roman" w:cs="Calibri"/>
                <w:color w:val="auto"/>
                <w:sz w:val="18"/>
              </w:rPr>
            </w:pPr>
          </w:p>
        </w:tc>
      </w:tr>
    </w:tbl>
    <w:p w14:paraId="7BF1B194" w14:textId="77777777" w:rsidR="00547BFA" w:rsidRPr="00547BFA" w:rsidRDefault="00547BFA" w:rsidP="00547BFA"/>
    <w:p w14:paraId="4FC83B2E" w14:textId="2BE47148" w:rsidR="001001B9" w:rsidRPr="00917921" w:rsidRDefault="001001B9" w:rsidP="001001B9">
      <w:pPr>
        <w:pStyle w:val="Heading2"/>
      </w:pPr>
      <w:r>
        <w:t>award basis and term</w:t>
      </w:r>
    </w:p>
    <w:p w14:paraId="78BAA4F7" w14:textId="4CA90D6C" w:rsidR="001001B9" w:rsidRPr="00C5566D" w:rsidRDefault="00A641A3" w:rsidP="00A641A3">
      <w:r>
        <w:t xml:space="preserve">Contract range has been approved from </w:t>
      </w:r>
      <w:r w:rsidR="00547BFA" w:rsidRPr="00547BFA">
        <w:t>$125,000</w:t>
      </w:r>
      <w:r w:rsidRPr="00547BFA">
        <w:t xml:space="preserve"> to </w:t>
      </w:r>
      <w:r w:rsidR="00547BFA" w:rsidRPr="00547BFA">
        <w:t>$150,000</w:t>
      </w:r>
      <w:r>
        <w:t xml:space="preserve"> commensurate with education and contractor’s experience. This contract is fully </w:t>
      </w:r>
      <w:r w:rsidR="00B4580A">
        <w:t>burdened,</w:t>
      </w:r>
      <w:r>
        <w:t xml:space="preserve"> and no benefits package is included. Contractor will be required to supply evidence of Commercial General Liability and Professional Liability </w:t>
      </w:r>
      <w:r w:rsidR="00B4580A">
        <w:t>insurance and</w:t>
      </w:r>
      <w:r>
        <w:t xml:space="preserve"> may be required to supply additional insurance depending upon the Scope of Work. </w:t>
      </w:r>
    </w:p>
    <w:p w14:paraId="6A73C136" w14:textId="620B1F82" w:rsidR="00463B01" w:rsidRPr="00917921" w:rsidRDefault="00463B01" w:rsidP="00463B01">
      <w:pPr>
        <w:pStyle w:val="Heading2"/>
      </w:pPr>
      <w:r>
        <w:t>required submittal items</w:t>
      </w:r>
    </w:p>
    <w:p w14:paraId="75C822D5" w14:textId="7280DE12" w:rsidR="00463B01" w:rsidRDefault="00B4580A" w:rsidP="00B4580A">
      <w:pPr>
        <w:pStyle w:val="ListParagraph"/>
        <w:numPr>
          <w:ilvl w:val="0"/>
          <w:numId w:val="30"/>
        </w:numPr>
      </w:pPr>
      <w:r>
        <w:t>Letter of Interest</w:t>
      </w:r>
    </w:p>
    <w:p w14:paraId="6E04A94F" w14:textId="2639DB9E" w:rsidR="00B4580A" w:rsidRDefault="00B4580A" w:rsidP="00B4580A">
      <w:pPr>
        <w:pStyle w:val="ListParagraph"/>
        <w:numPr>
          <w:ilvl w:val="0"/>
          <w:numId w:val="30"/>
        </w:numPr>
      </w:pPr>
      <w:r>
        <w:t>Resume or Curriculum Vitae</w:t>
      </w:r>
    </w:p>
    <w:p w14:paraId="772A9621" w14:textId="7C1E552E" w:rsidR="00B4580A" w:rsidRDefault="00B4580A" w:rsidP="00B4580A">
      <w:pPr>
        <w:rPr>
          <w:b/>
          <w:bCs/>
          <w:color w:val="17365D" w:themeColor="text2"/>
          <w:sz w:val="28"/>
          <w:szCs w:val="28"/>
        </w:rPr>
      </w:pPr>
      <w:r w:rsidRPr="00B4580A">
        <w:rPr>
          <w:b/>
          <w:bCs/>
          <w:color w:val="17365D" w:themeColor="text2"/>
          <w:sz w:val="28"/>
          <w:szCs w:val="28"/>
        </w:rPr>
        <w:t>MINIMUM QUALIFICATIONS</w:t>
      </w:r>
    </w:p>
    <w:p w14:paraId="2AEA3E41"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8736FC">
        <w:rPr>
          <w:rFonts w:eastAsia="Times New Roman" w:cs="Calibri"/>
          <w:szCs w:val="24"/>
        </w:rPr>
        <w:t>Licensed</w:t>
      </w:r>
      <w:r w:rsidRPr="0013163F">
        <w:rPr>
          <w:rFonts w:eastAsia="Times New Roman" w:cs="Calibri"/>
          <w:szCs w:val="24"/>
        </w:rPr>
        <w:t xml:space="preserve"> Danielson</w:t>
      </w:r>
      <w:r w:rsidRPr="008736FC">
        <w:rPr>
          <w:rFonts w:eastAsia="Times New Roman" w:cs="Calibri"/>
          <w:szCs w:val="24"/>
        </w:rPr>
        <w:t xml:space="preserve"> Group Framework Specialists</w:t>
      </w:r>
      <w:r w:rsidRPr="0013163F">
        <w:rPr>
          <w:rFonts w:eastAsia="Times New Roman" w:cs="Calibri"/>
          <w:szCs w:val="24"/>
        </w:rPr>
        <w:t xml:space="preserve"> </w:t>
      </w:r>
    </w:p>
    <w:p w14:paraId="776314C2"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t>Must have prior teaching experience in Idaho</w:t>
      </w:r>
    </w:p>
    <w:p w14:paraId="2F204BD1" w14:textId="77777777" w:rsidR="00547BFA" w:rsidRPr="008736FC"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t>Must possess Idaho administrative experience</w:t>
      </w:r>
    </w:p>
    <w:p w14:paraId="050955CA"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8736FC">
        <w:rPr>
          <w:rFonts w:eastAsia="Times New Roman" w:cs="Calibri"/>
          <w:szCs w:val="24"/>
        </w:rPr>
        <w:t>Experience Teaching the Danielson Framework in Idaho</w:t>
      </w:r>
    </w:p>
    <w:p w14:paraId="522CD716"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t>Ability to manage and coordinate personal travel and accommodations</w:t>
      </w:r>
    </w:p>
    <w:p w14:paraId="1D444362"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t xml:space="preserve">Availability to teach on </w:t>
      </w:r>
      <w:r w:rsidRPr="008736FC">
        <w:rPr>
          <w:rFonts w:eastAsia="Times New Roman" w:cs="Calibri"/>
          <w:b/>
          <w:bCs/>
          <w:szCs w:val="24"/>
        </w:rPr>
        <w:t>ALL</w:t>
      </w:r>
      <w:r w:rsidRPr="0013163F">
        <w:rPr>
          <w:rFonts w:eastAsia="Times New Roman" w:cs="Calibri"/>
          <w:szCs w:val="24"/>
        </w:rPr>
        <w:t xml:space="preserve"> scheduled dates</w:t>
      </w:r>
      <w:r w:rsidRPr="008736FC">
        <w:rPr>
          <w:rFonts w:eastAsia="Times New Roman" w:cs="Calibri"/>
          <w:szCs w:val="24"/>
        </w:rPr>
        <w:t xml:space="preserve"> and regions</w:t>
      </w:r>
      <w:r w:rsidRPr="0013163F">
        <w:rPr>
          <w:rFonts w:eastAsia="Times New Roman" w:cs="Calibri"/>
          <w:szCs w:val="24"/>
        </w:rPr>
        <w:t xml:space="preserve"> (30 days) outlined above</w:t>
      </w:r>
    </w:p>
    <w:p w14:paraId="5ED9B8A7"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t>Experience with instructional coaching using the Danielson Framework in Idaho</w:t>
      </w:r>
    </w:p>
    <w:p w14:paraId="618DC565"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lastRenderedPageBreak/>
        <w:t>Willingness to accept additional assignments as requested by the Idaho State Department of Education</w:t>
      </w:r>
    </w:p>
    <w:p w14:paraId="16DA8EA8"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t>Ability to develop and create the specified content</w:t>
      </w:r>
      <w:r w:rsidRPr="008736FC">
        <w:rPr>
          <w:rFonts w:eastAsia="Times New Roman" w:cs="Calibri"/>
          <w:szCs w:val="24"/>
        </w:rPr>
        <w:t xml:space="preserve"> using Danielson Framework for Teaching copyrighted materials</w:t>
      </w:r>
    </w:p>
    <w:p w14:paraId="599F8A23" w14:textId="77777777" w:rsidR="00547BFA" w:rsidRPr="0013163F" w:rsidRDefault="00547BFA" w:rsidP="00547BFA">
      <w:pPr>
        <w:numPr>
          <w:ilvl w:val="0"/>
          <w:numId w:val="33"/>
        </w:numPr>
        <w:spacing w:before="100" w:beforeAutospacing="1" w:after="100" w:afterAutospacing="1" w:line="240" w:lineRule="auto"/>
        <w:rPr>
          <w:rFonts w:eastAsia="Times New Roman" w:cs="Calibri"/>
          <w:szCs w:val="24"/>
        </w:rPr>
      </w:pPr>
      <w:r w:rsidRPr="0013163F">
        <w:rPr>
          <w:rFonts w:eastAsia="Times New Roman" w:cs="Calibri"/>
          <w:szCs w:val="24"/>
        </w:rPr>
        <w:t xml:space="preserve">Must </w:t>
      </w:r>
      <w:r w:rsidRPr="008736FC">
        <w:rPr>
          <w:rFonts w:eastAsia="Times New Roman" w:cs="Calibri"/>
          <w:szCs w:val="24"/>
        </w:rPr>
        <w:t xml:space="preserve">approve </w:t>
      </w:r>
      <w:r w:rsidRPr="0013163F">
        <w:rPr>
          <w:rFonts w:eastAsia="Times New Roman" w:cs="Calibri"/>
          <w:szCs w:val="24"/>
        </w:rPr>
        <w:t xml:space="preserve">content </w:t>
      </w:r>
      <w:r w:rsidRPr="008736FC">
        <w:rPr>
          <w:rFonts w:eastAsia="Times New Roman" w:cs="Calibri"/>
          <w:szCs w:val="24"/>
        </w:rPr>
        <w:t>with</w:t>
      </w:r>
      <w:r w:rsidRPr="0013163F">
        <w:rPr>
          <w:rFonts w:eastAsia="Times New Roman" w:cs="Calibri"/>
          <w:szCs w:val="24"/>
        </w:rPr>
        <w:t xml:space="preserve"> the Idaho Department of Education Title II-A Coordinator</w:t>
      </w:r>
    </w:p>
    <w:p w14:paraId="26364C97" w14:textId="5C47F8DC" w:rsidR="001001B9" w:rsidRPr="00917921" w:rsidRDefault="001001B9" w:rsidP="001001B9">
      <w:pPr>
        <w:pStyle w:val="Heading2"/>
      </w:pPr>
      <w:r>
        <w:t>response</w:t>
      </w:r>
    </w:p>
    <w:p w14:paraId="7FA830FB" w14:textId="11FA3CD7" w:rsidR="00E404FD" w:rsidRPr="00E404FD" w:rsidRDefault="001001B9" w:rsidP="00E404FD">
      <w:r>
        <w:t xml:space="preserve">Submit </w:t>
      </w:r>
      <w:r w:rsidR="00463B01">
        <w:t xml:space="preserve">all Required Submittal Items </w:t>
      </w:r>
      <w:r>
        <w:t>to</w:t>
      </w:r>
      <w:r w:rsidR="00B4580A">
        <w:t xml:space="preserve"> </w:t>
      </w:r>
      <w:r w:rsidR="00547BFA">
        <w:t>croessler@sde.idaho.gov</w:t>
      </w:r>
      <w:r>
        <w:t xml:space="preserve"> prior to the deadline established above.</w:t>
      </w:r>
    </w:p>
    <w:sectPr w:rsidR="00E404FD" w:rsidRPr="00E404FD" w:rsidSect="008A049F">
      <w:headerReference w:type="default" r:id="rId9"/>
      <w:footerReference w:type="default" r:id="rId10"/>
      <w:pgSz w:w="12240" w:h="15840" w:code="1"/>
      <w:pgMar w:top="117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3475" w14:textId="77777777" w:rsidR="008E7A08" w:rsidRDefault="008E7A08">
      <w:pPr>
        <w:spacing w:after="0" w:line="240" w:lineRule="auto"/>
      </w:pPr>
      <w:r>
        <w:separator/>
      </w:r>
    </w:p>
  </w:endnote>
  <w:endnote w:type="continuationSeparator" w:id="0">
    <w:p w14:paraId="1F9F3DC1" w14:textId="77777777" w:rsidR="008E7A08" w:rsidRDefault="008E7A08">
      <w:pPr>
        <w:spacing w:after="0" w:line="240" w:lineRule="auto"/>
      </w:pPr>
      <w:r>
        <w:continuationSeparator/>
      </w:r>
    </w:p>
  </w:endnote>
  <w:endnote w:type="continuationNotice" w:id="1">
    <w:p w14:paraId="12EE20DA" w14:textId="77777777" w:rsidR="008E7A08" w:rsidRDefault="008E7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E3BE" w14:textId="744358B3" w:rsidR="00D96187" w:rsidRPr="005C368C" w:rsidRDefault="004259FE" w:rsidP="003328C8">
    <w:pPr>
      <w:pStyle w:val="Footer"/>
      <w:pBdr>
        <w:top w:val="single" w:sz="4" w:space="1" w:color="153156" w:themeColor="background2" w:themeShade="40"/>
      </w:pBdr>
    </w:pPr>
    <w:r>
      <w:rPr>
        <w:rFonts w:ascii="Open Sans" w:hAnsi="Open Sans" w:cs="Open Sans"/>
        <w:color w:val="5C5C5C" w:themeColor="text1" w:themeTint="BF"/>
        <w:sz w:val="16"/>
      </w:rPr>
      <w:t xml:space="preserve"> 04/2025                                                                                                                                               </w:t>
    </w:r>
    <w:r w:rsidR="00CA469D" w:rsidRPr="00C238E8">
      <w:rPr>
        <w:rStyle w:val="Heading2Char"/>
        <w:color w:val="5C5C5C" w:themeColor="text1" w:themeTint="BF"/>
        <w:sz w:val="16"/>
      </w:rPr>
      <w:t xml:space="preserve"> </w:t>
    </w:r>
    <w:r w:rsidR="00A641A3">
      <w:rPr>
        <w:rStyle w:val="Heading2Char"/>
        <w:rFonts w:ascii="Open Sans SemiBold" w:hAnsi="Open Sans SemiBold" w:cs="Open Sans SemiBold"/>
        <w:color w:val="153156" w:themeColor="background2" w:themeShade="40"/>
        <w:sz w:val="18"/>
        <w:szCs w:val="18"/>
      </w:rPr>
      <w:t>Contracting opportunity</w:t>
    </w:r>
    <w:r w:rsidR="001001B9">
      <w:rPr>
        <w:rStyle w:val="Heading2Char"/>
        <w:rFonts w:ascii="Open Sans SemiBold" w:hAnsi="Open Sans SemiBold" w:cs="Open Sans SemiBold"/>
        <w:color w:val="153156" w:themeColor="background2" w:themeShade="40"/>
        <w:sz w:val="18"/>
        <w:szCs w:val="18"/>
      </w:rPr>
      <w:t xml:space="preserve"> </w:t>
    </w:r>
    <w:r>
      <w:rPr>
        <w:rStyle w:val="Heading2Char"/>
        <w:rFonts w:ascii="Open Sans SemiBold" w:hAnsi="Open Sans SemiBold" w:cs="Open Sans SemiBold"/>
        <w:color w:val="153156" w:themeColor="background2" w:themeShade="40"/>
        <w:sz w:val="18"/>
        <w:szCs w:val="18"/>
      </w:rPr>
      <w:t>–</w:t>
    </w:r>
    <w:r w:rsidR="001001B9">
      <w:rPr>
        <w:rStyle w:val="Heading2Char"/>
        <w:rFonts w:ascii="Open Sans SemiBold" w:hAnsi="Open Sans SemiBold" w:cs="Open Sans SemiBold"/>
        <w:color w:val="153156" w:themeColor="background2" w:themeShade="40"/>
        <w:sz w:val="18"/>
        <w:szCs w:val="18"/>
      </w:rPr>
      <w:t xml:space="preserve"> </w:t>
    </w:r>
    <w:r>
      <w:rPr>
        <w:rStyle w:val="Heading2Char"/>
        <w:rFonts w:ascii="Open Sans SemiBold" w:hAnsi="Open Sans SemiBold" w:cs="Open Sans SemiBold"/>
        <w:color w:val="153156" w:themeColor="background2" w:themeShade="40"/>
        <w:sz w:val="18"/>
        <w:szCs w:val="18"/>
      </w:rPr>
      <w:t>Danielson Framework Training</w:t>
    </w:r>
  </w:p>
  <w:p w14:paraId="5CB0BC86" w14:textId="77777777" w:rsidR="00F94D3A" w:rsidRPr="00D96187" w:rsidRDefault="00F94D3A" w:rsidP="00D9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CE32" w14:textId="77777777" w:rsidR="008E7A08" w:rsidRDefault="008E7A08">
      <w:pPr>
        <w:spacing w:after="0" w:line="240" w:lineRule="auto"/>
      </w:pPr>
      <w:r>
        <w:separator/>
      </w:r>
    </w:p>
  </w:footnote>
  <w:footnote w:type="continuationSeparator" w:id="0">
    <w:p w14:paraId="7BE0A6CA" w14:textId="77777777" w:rsidR="008E7A08" w:rsidRDefault="008E7A08">
      <w:pPr>
        <w:spacing w:after="0" w:line="240" w:lineRule="auto"/>
      </w:pPr>
      <w:r>
        <w:continuationSeparator/>
      </w:r>
    </w:p>
  </w:footnote>
  <w:footnote w:type="continuationNotice" w:id="1">
    <w:p w14:paraId="5DE1750C" w14:textId="77777777" w:rsidR="008E7A08" w:rsidRDefault="008E7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14F" w14:textId="77777777" w:rsidR="00424314" w:rsidRDefault="00646404" w:rsidP="001978AF">
    <w:pPr>
      <w:pStyle w:val="Header"/>
      <w:spacing w:after="360"/>
      <w:ind w:left="-274"/>
      <w:jc w:val="right"/>
    </w:pPr>
    <w:r>
      <w:t xml:space="preserve">  </w:t>
    </w:r>
    <w:r w:rsidR="00DC5D70">
      <w:rPr>
        <w:noProof/>
      </w:rPr>
      <w:drawing>
        <wp:inline distT="0" distB="0" distL="0" distR="0" wp14:anchorId="356D10D4" wp14:editId="342B5E72">
          <wp:extent cx="781050" cy="781050"/>
          <wp:effectExtent l="0" t="0" r="0" b="0"/>
          <wp:docPr id="1" name="Picture 1"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A51470"/>
    <w:multiLevelType w:val="hybridMultilevel"/>
    <w:tmpl w:val="9796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03BC2"/>
    <w:multiLevelType w:val="multilevel"/>
    <w:tmpl w:val="9F6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7118A"/>
    <w:multiLevelType w:val="multilevel"/>
    <w:tmpl w:val="370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25937"/>
    <w:multiLevelType w:val="multilevel"/>
    <w:tmpl w:val="B1D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2305">
    <w:abstractNumId w:val="0"/>
  </w:num>
  <w:num w:numId="2" w16cid:durableId="1994336548">
    <w:abstractNumId w:val="25"/>
  </w:num>
  <w:num w:numId="3" w16cid:durableId="555550997">
    <w:abstractNumId w:val="25"/>
    <w:lvlOverride w:ilvl="0">
      <w:startOverride w:val="1"/>
    </w:lvlOverride>
  </w:num>
  <w:num w:numId="4" w16cid:durableId="1844008980">
    <w:abstractNumId w:val="28"/>
  </w:num>
  <w:num w:numId="5" w16cid:durableId="639726828">
    <w:abstractNumId w:val="20"/>
  </w:num>
  <w:num w:numId="6" w16cid:durableId="1633517048">
    <w:abstractNumId w:val="24"/>
  </w:num>
  <w:num w:numId="7" w16cid:durableId="886453340">
    <w:abstractNumId w:val="7"/>
  </w:num>
  <w:num w:numId="8" w16cid:durableId="1014961135">
    <w:abstractNumId w:val="16"/>
  </w:num>
  <w:num w:numId="9" w16cid:durableId="1548951053">
    <w:abstractNumId w:val="23"/>
  </w:num>
  <w:num w:numId="10" w16cid:durableId="1541897086">
    <w:abstractNumId w:val="22"/>
  </w:num>
  <w:num w:numId="11" w16cid:durableId="720978774">
    <w:abstractNumId w:val="3"/>
  </w:num>
  <w:num w:numId="12" w16cid:durableId="2021856901">
    <w:abstractNumId w:val="19"/>
  </w:num>
  <w:num w:numId="13" w16cid:durableId="1635865479">
    <w:abstractNumId w:val="2"/>
  </w:num>
  <w:num w:numId="14" w16cid:durableId="1930038881">
    <w:abstractNumId w:val="27"/>
  </w:num>
  <w:num w:numId="15" w16cid:durableId="184057602">
    <w:abstractNumId w:val="18"/>
  </w:num>
  <w:num w:numId="16" w16cid:durableId="824247289">
    <w:abstractNumId w:val="14"/>
  </w:num>
  <w:num w:numId="17" w16cid:durableId="806972491">
    <w:abstractNumId w:val="17"/>
  </w:num>
  <w:num w:numId="18" w16cid:durableId="814376443">
    <w:abstractNumId w:val="4"/>
  </w:num>
  <w:num w:numId="19" w16cid:durableId="1421948217">
    <w:abstractNumId w:val="11"/>
  </w:num>
  <w:num w:numId="20" w16cid:durableId="1492137695">
    <w:abstractNumId w:val="15"/>
  </w:num>
  <w:num w:numId="21" w16cid:durableId="335041884">
    <w:abstractNumId w:val="5"/>
  </w:num>
  <w:num w:numId="22" w16cid:durableId="1305044914">
    <w:abstractNumId w:val="26"/>
  </w:num>
  <w:num w:numId="23" w16cid:durableId="558322888">
    <w:abstractNumId w:val="13"/>
  </w:num>
  <w:num w:numId="24" w16cid:durableId="921140911">
    <w:abstractNumId w:val="31"/>
  </w:num>
  <w:num w:numId="25" w16cid:durableId="606929402">
    <w:abstractNumId w:val="10"/>
  </w:num>
  <w:num w:numId="26" w16cid:durableId="1989238435">
    <w:abstractNumId w:val="21"/>
  </w:num>
  <w:num w:numId="27" w16cid:durableId="268196438">
    <w:abstractNumId w:val="30"/>
  </w:num>
  <w:num w:numId="28" w16cid:durableId="653141368">
    <w:abstractNumId w:val="12"/>
  </w:num>
  <w:num w:numId="29" w16cid:durableId="1349287244">
    <w:abstractNumId w:val="9"/>
  </w:num>
  <w:num w:numId="30" w16cid:durableId="1481920126">
    <w:abstractNumId w:val="1"/>
  </w:num>
  <w:num w:numId="31" w16cid:durableId="1638073483">
    <w:abstractNumId w:val="8"/>
  </w:num>
  <w:num w:numId="32" w16cid:durableId="338698515">
    <w:abstractNumId w:val="29"/>
  </w:num>
  <w:num w:numId="33" w16cid:durableId="1636449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AD2"/>
    <w:rsid w:val="000160F4"/>
    <w:rsid w:val="00062E3E"/>
    <w:rsid w:val="000716DE"/>
    <w:rsid w:val="00081174"/>
    <w:rsid w:val="00083931"/>
    <w:rsid w:val="0009103D"/>
    <w:rsid w:val="00096168"/>
    <w:rsid w:val="000A035E"/>
    <w:rsid w:val="000C79E4"/>
    <w:rsid w:val="000D004F"/>
    <w:rsid w:val="0010006A"/>
    <w:rsid w:val="001001B9"/>
    <w:rsid w:val="00100353"/>
    <w:rsid w:val="00103DBC"/>
    <w:rsid w:val="00112D4A"/>
    <w:rsid w:val="00115B80"/>
    <w:rsid w:val="001168C0"/>
    <w:rsid w:val="00154031"/>
    <w:rsid w:val="00161C6B"/>
    <w:rsid w:val="00164A50"/>
    <w:rsid w:val="00174906"/>
    <w:rsid w:val="00180F84"/>
    <w:rsid w:val="0018288A"/>
    <w:rsid w:val="00186929"/>
    <w:rsid w:val="00196761"/>
    <w:rsid w:val="001978AF"/>
    <w:rsid w:val="001A57ED"/>
    <w:rsid w:val="001B4B0B"/>
    <w:rsid w:val="001B5314"/>
    <w:rsid w:val="001D1C70"/>
    <w:rsid w:val="001F5404"/>
    <w:rsid w:val="0022341D"/>
    <w:rsid w:val="00241954"/>
    <w:rsid w:val="00245FA3"/>
    <w:rsid w:val="0025689F"/>
    <w:rsid w:val="0026476C"/>
    <w:rsid w:val="0026570B"/>
    <w:rsid w:val="00281739"/>
    <w:rsid w:val="00287B0B"/>
    <w:rsid w:val="0029223D"/>
    <w:rsid w:val="002C4235"/>
    <w:rsid w:val="002C6E2B"/>
    <w:rsid w:val="002D14F2"/>
    <w:rsid w:val="002F1BB5"/>
    <w:rsid w:val="003123D4"/>
    <w:rsid w:val="003328C8"/>
    <w:rsid w:val="00343BC7"/>
    <w:rsid w:val="00347EBE"/>
    <w:rsid w:val="00362647"/>
    <w:rsid w:val="00385714"/>
    <w:rsid w:val="003A0E14"/>
    <w:rsid w:val="003A5AAF"/>
    <w:rsid w:val="003D0540"/>
    <w:rsid w:val="003D5F75"/>
    <w:rsid w:val="00424314"/>
    <w:rsid w:val="004259FE"/>
    <w:rsid w:val="00463B01"/>
    <w:rsid w:val="004667B3"/>
    <w:rsid w:val="00470408"/>
    <w:rsid w:val="00490228"/>
    <w:rsid w:val="00492A4E"/>
    <w:rsid w:val="004A3B49"/>
    <w:rsid w:val="004C6DC1"/>
    <w:rsid w:val="004E05E7"/>
    <w:rsid w:val="00510035"/>
    <w:rsid w:val="00547BFA"/>
    <w:rsid w:val="00550124"/>
    <w:rsid w:val="005538F4"/>
    <w:rsid w:val="005876A6"/>
    <w:rsid w:val="005A104F"/>
    <w:rsid w:val="005B1976"/>
    <w:rsid w:val="005F0046"/>
    <w:rsid w:val="005F2FD9"/>
    <w:rsid w:val="00637DF6"/>
    <w:rsid w:val="006460A3"/>
    <w:rsid w:val="00646404"/>
    <w:rsid w:val="0066385B"/>
    <w:rsid w:val="006C12B0"/>
    <w:rsid w:val="00715120"/>
    <w:rsid w:val="007334DA"/>
    <w:rsid w:val="00775054"/>
    <w:rsid w:val="0077787B"/>
    <w:rsid w:val="00791D1B"/>
    <w:rsid w:val="007A702E"/>
    <w:rsid w:val="007E114F"/>
    <w:rsid w:val="00807835"/>
    <w:rsid w:val="00813242"/>
    <w:rsid w:val="00853C51"/>
    <w:rsid w:val="00867EB7"/>
    <w:rsid w:val="00872142"/>
    <w:rsid w:val="008736FC"/>
    <w:rsid w:val="00891DCB"/>
    <w:rsid w:val="0089512B"/>
    <w:rsid w:val="0089514C"/>
    <w:rsid w:val="008A049F"/>
    <w:rsid w:val="008B16D9"/>
    <w:rsid w:val="008E7A08"/>
    <w:rsid w:val="009057E8"/>
    <w:rsid w:val="009079C9"/>
    <w:rsid w:val="00924BE8"/>
    <w:rsid w:val="009262F6"/>
    <w:rsid w:val="00940C28"/>
    <w:rsid w:val="00944B88"/>
    <w:rsid w:val="00956C1B"/>
    <w:rsid w:val="00976BFB"/>
    <w:rsid w:val="009A4025"/>
    <w:rsid w:val="00A01BFA"/>
    <w:rsid w:val="00A052A2"/>
    <w:rsid w:val="00A10162"/>
    <w:rsid w:val="00A16E07"/>
    <w:rsid w:val="00A641A3"/>
    <w:rsid w:val="00AB2FC4"/>
    <w:rsid w:val="00AB4310"/>
    <w:rsid w:val="00AB724D"/>
    <w:rsid w:val="00AD1E5A"/>
    <w:rsid w:val="00AD4B8D"/>
    <w:rsid w:val="00AE0F6C"/>
    <w:rsid w:val="00B33BBD"/>
    <w:rsid w:val="00B36BC8"/>
    <w:rsid w:val="00B4580A"/>
    <w:rsid w:val="00B565A2"/>
    <w:rsid w:val="00B82E2B"/>
    <w:rsid w:val="00B9639E"/>
    <w:rsid w:val="00BA29F5"/>
    <w:rsid w:val="00BB7C99"/>
    <w:rsid w:val="00BC3467"/>
    <w:rsid w:val="00C238E8"/>
    <w:rsid w:val="00C318EC"/>
    <w:rsid w:val="00C53AE9"/>
    <w:rsid w:val="00C55449"/>
    <w:rsid w:val="00C5566D"/>
    <w:rsid w:val="00C77745"/>
    <w:rsid w:val="00C807B2"/>
    <w:rsid w:val="00C81D83"/>
    <w:rsid w:val="00C96EF5"/>
    <w:rsid w:val="00CA2966"/>
    <w:rsid w:val="00CA469D"/>
    <w:rsid w:val="00CA792B"/>
    <w:rsid w:val="00CB7368"/>
    <w:rsid w:val="00CC33FF"/>
    <w:rsid w:val="00CD072C"/>
    <w:rsid w:val="00CE5D9B"/>
    <w:rsid w:val="00CF4EC4"/>
    <w:rsid w:val="00D022E5"/>
    <w:rsid w:val="00D34780"/>
    <w:rsid w:val="00D96187"/>
    <w:rsid w:val="00DC5D70"/>
    <w:rsid w:val="00DE52FA"/>
    <w:rsid w:val="00DF27A6"/>
    <w:rsid w:val="00E236A0"/>
    <w:rsid w:val="00E404FD"/>
    <w:rsid w:val="00E80235"/>
    <w:rsid w:val="00EB2D92"/>
    <w:rsid w:val="00EC4660"/>
    <w:rsid w:val="00ED0AC9"/>
    <w:rsid w:val="00ED76D3"/>
    <w:rsid w:val="00EF6B01"/>
    <w:rsid w:val="00F144BF"/>
    <w:rsid w:val="00F174FF"/>
    <w:rsid w:val="00F3077F"/>
    <w:rsid w:val="00F548FB"/>
    <w:rsid w:val="00F559D9"/>
    <w:rsid w:val="00F55C2C"/>
    <w:rsid w:val="00F775BF"/>
    <w:rsid w:val="00F814F1"/>
    <w:rsid w:val="00F94617"/>
    <w:rsid w:val="00F94D3A"/>
    <w:rsid w:val="00FA5BEA"/>
    <w:rsid w:val="00FB4A46"/>
    <w:rsid w:val="00FC72DE"/>
    <w:rsid w:val="00FC7748"/>
    <w:rsid w:val="00FF1031"/>
    <w:rsid w:val="1D5EF644"/>
    <w:rsid w:val="44D58608"/>
    <w:rsid w:val="464D4565"/>
    <w:rsid w:val="65129304"/>
    <w:rsid w:val="6C479955"/>
    <w:rsid w:val="7C03E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AFC6"/>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0B"/>
    <w:rPr>
      <w:rFonts w:ascii="Calibri" w:hAnsi="Calibri"/>
      <w:color w:val="3B3B3B" w:themeColor="text1" w:themeTint="E6"/>
      <w:sz w:val="24"/>
    </w:rPr>
  </w:style>
  <w:style w:type="paragraph" w:styleId="Heading1">
    <w:name w:val="heading 1"/>
    <w:basedOn w:val="Normal"/>
    <w:next w:val="Normal"/>
    <w:link w:val="Heading1Char"/>
    <w:autoRedefine/>
    <w:uiPriority w:val="9"/>
    <w:qFormat/>
    <w:rsid w:val="00164A50"/>
    <w:pPr>
      <w:keepNext/>
      <w:keepLines/>
      <w:spacing w:before="360" w:after="240" w:line="240" w:lineRule="auto"/>
      <w:outlineLvl w:val="0"/>
    </w:pPr>
    <w:rPr>
      <w:rFonts w:ascii="Cambria" w:hAnsi="Cambria"/>
      <w:b/>
      <w:bCs/>
      <w:color w:val="0E3354"/>
      <w:sz w:val="44"/>
      <w:szCs w:val="28"/>
    </w:rPr>
  </w:style>
  <w:style w:type="paragraph" w:styleId="Heading2">
    <w:name w:val="heading 2"/>
    <w:basedOn w:val="Normal"/>
    <w:next w:val="Normal"/>
    <w:link w:val="Heading2Char"/>
    <w:autoRedefine/>
    <w:uiPriority w:val="9"/>
    <w:unhideWhenUsed/>
    <w:qFormat/>
    <w:rsid w:val="00C77745"/>
    <w:pPr>
      <w:keepNext/>
      <w:keepLines/>
      <w:spacing w:before="360" w:after="240" w:line="240" w:lineRule="auto"/>
      <w:outlineLvl w:val="1"/>
    </w:pPr>
    <w:rPr>
      <w:b/>
      <w:bCs/>
      <w:caps/>
      <w:color w:val="0E3354"/>
      <w:sz w:val="28"/>
      <w:szCs w:val="24"/>
    </w:rPr>
  </w:style>
  <w:style w:type="paragraph" w:styleId="Heading3">
    <w:name w:val="heading 3"/>
    <w:basedOn w:val="Normal"/>
    <w:next w:val="Normal"/>
    <w:link w:val="Heading3Char"/>
    <w:autoRedefine/>
    <w:uiPriority w:val="9"/>
    <w:unhideWhenUsed/>
    <w:qFormat/>
    <w:rsid w:val="00C77745"/>
    <w:pPr>
      <w:keepNext/>
      <w:keepLines/>
      <w:spacing w:before="360" w:after="120" w:line="240" w:lineRule="auto"/>
      <w:outlineLvl w:val="2"/>
    </w:pPr>
    <w:rPr>
      <w:rFonts w:eastAsiaTheme="majorEastAsia" w:cstheme="majorBidi"/>
      <w:color w:val="2B63AC"/>
      <w:sz w:val="28"/>
      <w:szCs w:val="24"/>
    </w:rPr>
  </w:style>
  <w:style w:type="paragraph" w:styleId="Heading4">
    <w:name w:val="heading 4"/>
    <w:basedOn w:val="Normal"/>
    <w:next w:val="Normal"/>
    <w:link w:val="Heading4Char"/>
    <w:autoRedefine/>
    <w:uiPriority w:val="9"/>
    <w:unhideWhenUsed/>
    <w:qFormat/>
    <w:rsid w:val="00E404FD"/>
    <w:pPr>
      <w:keepNext/>
      <w:keepLines/>
      <w:spacing w:before="240" w:after="0"/>
      <w:outlineLvl w:val="3"/>
    </w:pPr>
    <w:rPr>
      <w:rFonts w:eastAsiaTheme="majorEastAsia" w:cstheme="majorBidi"/>
      <w:b/>
      <w:iCs/>
      <w:color w:val="464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AC9"/>
    <w:pPr>
      <w:pBdr>
        <w:left w:val="double" w:sz="18" w:space="4" w:color="153156" w:themeColor="background2" w:themeShade="40"/>
      </w:pBdr>
      <w:spacing w:after="120" w:line="240" w:lineRule="auto"/>
    </w:pPr>
    <w:rPr>
      <w:rFonts w:ascii="Cambria" w:eastAsiaTheme="majorEastAsia" w:hAnsi="Cambria" w:cstheme="majorBidi"/>
      <w:b/>
      <w:color w:val="0E3354"/>
      <w:kern w:val="28"/>
      <w:sz w:val="44"/>
      <w:szCs w:val="38"/>
    </w:rPr>
  </w:style>
  <w:style w:type="character" w:customStyle="1" w:styleId="TitleChar">
    <w:name w:val="Title Char"/>
    <w:basedOn w:val="DefaultParagraphFont"/>
    <w:link w:val="Title"/>
    <w:uiPriority w:val="10"/>
    <w:rsid w:val="00ED0AC9"/>
    <w:rPr>
      <w:rFonts w:ascii="Cambria" w:eastAsiaTheme="majorEastAsia" w:hAnsi="Cambria" w:cstheme="majorBidi"/>
      <w:b/>
      <w:color w:val="0E3354"/>
      <w:kern w:val="28"/>
      <w:sz w:val="44"/>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16DE"/>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0716DE"/>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164A50"/>
    <w:rPr>
      <w:rFonts w:ascii="Cambria" w:hAnsi="Cambria"/>
      <w:b/>
      <w:bCs/>
      <w:color w:val="0E3354"/>
      <w:sz w:val="44"/>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5A104F"/>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C77745"/>
    <w:rPr>
      <w:rFonts w:ascii="Calibri" w:hAnsi="Calibri"/>
      <w:b/>
      <w:bCs/>
      <w:caps/>
      <w:color w:val="0E3354"/>
      <w:sz w:val="28"/>
      <w:szCs w:val="24"/>
    </w:rPr>
  </w:style>
  <w:style w:type="paragraph" w:styleId="ListBullet">
    <w:name w:val="List Bullet"/>
    <w:basedOn w:val="Normal"/>
    <w:uiPriority w:val="1"/>
    <w:unhideWhenUsed/>
    <w:qFormat/>
    <w:rsid w:val="000716DE"/>
    <w:pPr>
      <w:numPr>
        <w:numId w:val="2"/>
      </w:numPr>
      <w:spacing w:after="6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ED0AC9"/>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ED0AC9"/>
    <w:rPr>
      <w:rFonts w:ascii="Calibri" w:hAnsi="Calibri"/>
      <w:iCs/>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34"/>
    <w:qFormat/>
    <w:rsid w:val="001B4B0B"/>
    <w:pPr>
      <w:numPr>
        <w:numId w:val="11"/>
      </w:numPr>
      <w:spacing w:after="200" w:line="276" w:lineRule="auto"/>
      <w:ind w:left="504"/>
      <w:contextualSpacing/>
    </w:pPr>
    <w:rPr>
      <w:color w:val="262626" w:themeColor="text1"/>
      <w:szCs w:val="22"/>
      <w:lang w:eastAsia="en-US"/>
    </w:rPr>
  </w:style>
  <w:style w:type="paragraph" w:styleId="BodyText">
    <w:name w:val="Body Text"/>
    <w:basedOn w:val="Normal"/>
    <w:link w:val="BodyTextChar"/>
    <w:uiPriority w:val="1"/>
    <w:qFormat/>
    <w:rsid w:val="00112D4A"/>
    <w:pPr>
      <w:widowControl w:val="0"/>
      <w:autoSpaceDE w:val="0"/>
      <w:autoSpaceDN w:val="0"/>
      <w:spacing w:after="0" w:line="240" w:lineRule="auto"/>
      <w:ind w:left="840" w:hanging="360"/>
    </w:pPr>
    <w:rPr>
      <w:rFonts w:eastAsia="Arial" w:cs="Arial"/>
      <w:color w:val="auto"/>
      <w:szCs w:val="24"/>
      <w:lang w:eastAsia="en-US"/>
    </w:rPr>
  </w:style>
  <w:style w:type="character" w:customStyle="1" w:styleId="BodyTextChar">
    <w:name w:val="Body Text Char"/>
    <w:basedOn w:val="DefaultParagraphFont"/>
    <w:link w:val="BodyText"/>
    <w:uiPriority w:val="1"/>
    <w:rsid w:val="00112D4A"/>
    <w:rPr>
      <w:rFonts w:ascii="Open Sans" w:eastAsia="Arial" w:hAnsi="Open Sans" w:cs="Arial"/>
      <w:color w:val="auto"/>
      <w:sz w:val="24"/>
      <w:szCs w:val="24"/>
      <w:lang w:eastAsia="en-US"/>
    </w:rPr>
  </w:style>
  <w:style w:type="character" w:customStyle="1" w:styleId="Heading3Char">
    <w:name w:val="Heading 3 Char"/>
    <w:basedOn w:val="DefaultParagraphFont"/>
    <w:link w:val="Heading3"/>
    <w:uiPriority w:val="9"/>
    <w:rsid w:val="00C77745"/>
    <w:rPr>
      <w:rFonts w:ascii="Calibri" w:eastAsiaTheme="majorEastAsia" w:hAnsi="Calibri" w:cstheme="majorBidi"/>
      <w:color w:val="2B63AC"/>
      <w:sz w:val="28"/>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5A104F"/>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E404FD"/>
    <w:rPr>
      <w:rFonts w:ascii="Calibri" w:eastAsiaTheme="majorEastAsia" w:hAnsi="Calibri" w:cstheme="majorBidi"/>
      <w:b/>
      <w:iCs/>
      <w:color w:val="464646"/>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character" w:styleId="UnresolvedMention">
    <w:name w:val="Unresolved Mention"/>
    <w:basedOn w:val="DefaultParagraphFont"/>
    <w:uiPriority w:val="99"/>
    <w:semiHidden/>
    <w:unhideWhenUsed/>
    <w:rsid w:val="001001B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color w:val="3B3B3B" w:themeColor="text1" w:themeTint="E6"/>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4EC4"/>
    <w:pPr>
      <w:spacing w:after="0" w:line="240" w:lineRule="auto"/>
    </w:pPr>
    <w:rPr>
      <w:rFonts w:ascii="Calibri" w:hAnsi="Calibri"/>
      <w:color w:val="3B3B3B" w:themeColor="text1" w:themeTint="E6"/>
      <w:sz w:val="24"/>
    </w:rPr>
  </w:style>
  <w:style w:type="paragraph" w:customStyle="1" w:styleId="TableParagraph">
    <w:name w:val="Table Paragraph"/>
    <w:basedOn w:val="Normal"/>
    <w:uiPriority w:val="1"/>
    <w:qFormat/>
    <w:rsid w:val="00547BFA"/>
    <w:pPr>
      <w:widowControl w:val="0"/>
      <w:autoSpaceDE w:val="0"/>
      <w:autoSpaceDN w:val="0"/>
      <w:spacing w:after="0" w:line="240" w:lineRule="auto"/>
    </w:pPr>
    <w:rPr>
      <w:rFonts w:ascii="Cambria" w:eastAsia="Cambria" w:hAnsi="Cambria" w:cs="Cambria"/>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A82B7-4BDC-4321-A8E5-4A988BFDBDC1}">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Contracting Opportunity Template</vt:lpstr>
    </vt:vector>
  </TitlesOfParts>
  <Company>Idaho State Department of Education</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Opportunity Template</dc:title>
  <dc:subject>Accessibility</dc:subject>
  <dc:creator>lbecker@sde.idaho.gov</dc:creator>
  <cp:keywords>RFQ</cp:keywords>
  <cp:lastModifiedBy>Carol Roessler</cp:lastModifiedBy>
  <cp:revision>2</cp:revision>
  <cp:lastPrinted>2017-07-31T23:01:00Z</cp:lastPrinted>
  <dcterms:created xsi:type="dcterms:W3CDTF">2025-04-02T15:24:00Z</dcterms:created>
  <dcterms:modified xsi:type="dcterms:W3CDTF">2025-04-02T15:24:00Z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