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FF" w:rsidRDefault="005C15FF" w:rsidP="0085597F">
      <w:pPr>
        <w:pStyle w:val="Heading2"/>
        <w:sectPr w:rsidR="005C15FF" w:rsidSect="00C676CA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0" w:footer="1152" w:gutter="0"/>
          <w:cols w:space="288"/>
          <w:docGrid w:linePitch="360"/>
        </w:sectPr>
      </w:pPr>
      <w:bookmarkStart w:id="0" w:name="_GoBack"/>
      <w:bookmarkEnd w:id="0"/>
    </w:p>
    <w:p w:rsidR="00C03642" w:rsidRDefault="00C03642" w:rsidP="00C03642">
      <w:pPr>
        <w:spacing w:after="0" w:line="240" w:lineRule="auto"/>
        <w:rPr>
          <w:rFonts w:asciiTheme="minorHAnsi" w:eastAsia="Times New Roman" w:hAnsiTheme="minorHAnsi"/>
          <w:b/>
          <w:bCs/>
          <w:color w:val="365F91" w:themeColor="accent1" w:themeShade="BF"/>
          <w:szCs w:val="26"/>
        </w:rPr>
        <w:sectPr w:rsidR="00C03642" w:rsidSect="00C03642">
          <w:type w:val="continuous"/>
          <w:pgSz w:w="12240" w:h="15840"/>
          <w:pgMar w:top="1440" w:right="1440" w:bottom="1440" w:left="1440" w:header="0" w:footer="288" w:gutter="0"/>
          <w:cols w:space="720"/>
        </w:sectPr>
      </w:pPr>
    </w:p>
    <w:p w:rsidR="00C03642" w:rsidRPr="00411E19" w:rsidRDefault="00411E19" w:rsidP="00C03642">
      <w:pPr>
        <w:pStyle w:val="Title"/>
        <w:rPr>
          <w:sz w:val="48"/>
        </w:rPr>
      </w:pPr>
      <w:r>
        <w:rPr>
          <w:sz w:val="48"/>
        </w:rPr>
        <w:t xml:space="preserve">ESSA State Plan </w:t>
      </w:r>
      <w:r w:rsidRPr="00411E19">
        <w:rPr>
          <w:sz w:val="48"/>
        </w:rPr>
        <w:t>Long-Term and Interim Progress Goals</w:t>
      </w:r>
    </w:p>
    <w:p w:rsidR="00194666" w:rsidRDefault="00411E19" w:rsidP="00194666">
      <w:pPr>
        <w:pStyle w:val="Heading1"/>
      </w:pPr>
      <w:r>
        <w:t>Academic Achievement</w:t>
      </w:r>
    </w:p>
    <w:p w:rsidR="00194666" w:rsidRDefault="00194666" w:rsidP="00194666">
      <w:pPr>
        <w:pStyle w:val="Heading2"/>
      </w:pPr>
      <w:r>
        <w:t>Mathematics</w:t>
      </w:r>
    </w:p>
    <w:p w:rsidR="00194666" w:rsidRPr="00BB633C" w:rsidRDefault="00194666" w:rsidP="00194666">
      <w:pPr>
        <w:pStyle w:val="Heading3"/>
      </w:pPr>
      <w:r w:rsidRPr="00BB633C">
        <w:t>2016 baseline, 2022 long-term goal, and 2017-2021 interim targets</w:t>
      </w:r>
    </w:p>
    <w:tbl>
      <w:tblPr>
        <w:tblStyle w:val="ProposalTable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athematics baseline - 2016, long-term goals - 2022 and interim targets - 2017-2021"/>
      </w:tblPr>
      <w:tblGrid>
        <w:gridCol w:w="3115"/>
        <w:gridCol w:w="886"/>
        <w:gridCol w:w="886"/>
        <w:gridCol w:w="896"/>
        <w:gridCol w:w="896"/>
        <w:gridCol w:w="896"/>
        <w:gridCol w:w="939"/>
        <w:gridCol w:w="886"/>
      </w:tblGrid>
      <w:tr w:rsidR="00194666" w:rsidRPr="00BB633C" w:rsidTr="0099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5" w:type="dxa"/>
            <w:shd w:val="clear" w:color="auto" w:fill="D9D9D9" w:themeFill="background1" w:themeFillShade="D9"/>
          </w:tcPr>
          <w:p w:rsidR="00194666" w:rsidRPr="00BB633C" w:rsidRDefault="00194666" w:rsidP="00992A64">
            <w:r w:rsidRPr="00BB633C">
              <w:t>Mathematics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94666" w:rsidRPr="00BB633C" w:rsidRDefault="00194666" w:rsidP="00992A64">
            <w:r w:rsidRPr="00BB633C">
              <w:t>2016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94666" w:rsidRPr="00BB633C" w:rsidRDefault="00194666" w:rsidP="00992A64">
            <w:r w:rsidRPr="00BB633C">
              <w:t>2017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194666" w:rsidRPr="00BB633C" w:rsidRDefault="00194666" w:rsidP="00992A64">
            <w:r w:rsidRPr="00BB633C">
              <w:t>2018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194666" w:rsidRPr="00BB633C" w:rsidRDefault="00194666" w:rsidP="00992A64">
            <w:r w:rsidRPr="00BB633C">
              <w:t>2019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194666" w:rsidRPr="00BB633C" w:rsidRDefault="00194666" w:rsidP="00992A64">
            <w:r w:rsidRPr="00BB633C">
              <w:t>2020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194666" w:rsidRPr="00BB633C" w:rsidRDefault="00194666" w:rsidP="00992A64">
            <w:r w:rsidRPr="00BB633C">
              <w:t>2021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94666" w:rsidRPr="00BB633C" w:rsidRDefault="00194666" w:rsidP="00992A64">
            <w:r w:rsidRPr="00BB633C">
              <w:t>2022</w:t>
            </w:r>
          </w:p>
        </w:tc>
      </w:tr>
      <w:tr w:rsidR="00194666" w:rsidRPr="00BB633C" w:rsidTr="00992A64">
        <w:tc>
          <w:tcPr>
            <w:tcW w:w="3115" w:type="dxa"/>
          </w:tcPr>
          <w:p w:rsidR="00194666" w:rsidRPr="00BB633C" w:rsidRDefault="00194666" w:rsidP="00992A64">
            <w:pPr>
              <w:spacing w:after="0"/>
            </w:pPr>
            <w:r w:rsidRPr="00BB633C">
              <w:t>All Students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41.6%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44.8%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48.1%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51.3%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54.6%</w:t>
            </w:r>
          </w:p>
        </w:tc>
        <w:tc>
          <w:tcPr>
            <w:tcW w:w="939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57.8%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61.1%</w:t>
            </w:r>
          </w:p>
        </w:tc>
      </w:tr>
      <w:tr w:rsidR="00194666" w:rsidRPr="00BB633C" w:rsidTr="00992A64">
        <w:tc>
          <w:tcPr>
            <w:tcW w:w="3115" w:type="dxa"/>
          </w:tcPr>
          <w:p w:rsidR="00194666" w:rsidRPr="00BB633C" w:rsidRDefault="00194666" w:rsidP="00992A64">
            <w:pPr>
              <w:spacing w:after="0"/>
            </w:pPr>
            <w:r w:rsidRPr="00BB633C">
              <w:t>Economically Disadvantaged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30.3%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34.2%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38.0%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41.9%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45.8%</w:t>
            </w:r>
          </w:p>
        </w:tc>
        <w:tc>
          <w:tcPr>
            <w:tcW w:w="939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49.7%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53.5%</w:t>
            </w:r>
          </w:p>
        </w:tc>
      </w:tr>
      <w:tr w:rsidR="00194666" w:rsidRPr="00BB633C" w:rsidTr="00992A64">
        <w:tc>
          <w:tcPr>
            <w:tcW w:w="3115" w:type="dxa"/>
          </w:tcPr>
          <w:p w:rsidR="00194666" w:rsidRPr="00BB633C" w:rsidRDefault="00194666" w:rsidP="00992A64">
            <w:pPr>
              <w:spacing w:after="0"/>
            </w:pPr>
            <w:r w:rsidRPr="00BB633C">
              <w:t>Students with Disabilities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15.2%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19.9%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24.6%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29.3%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34.0%</w:t>
            </w:r>
          </w:p>
        </w:tc>
        <w:tc>
          <w:tcPr>
            <w:tcW w:w="939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38.8%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43.5%</w:t>
            </w:r>
          </w:p>
        </w:tc>
      </w:tr>
      <w:tr w:rsidR="00194666" w:rsidRPr="00BB633C" w:rsidTr="00992A64">
        <w:tc>
          <w:tcPr>
            <w:tcW w:w="3115" w:type="dxa"/>
          </w:tcPr>
          <w:p w:rsidR="00194666" w:rsidRPr="00BB633C" w:rsidRDefault="00194666" w:rsidP="00992A64">
            <w:pPr>
              <w:spacing w:after="0"/>
            </w:pPr>
            <w:r w:rsidRPr="00BB633C">
              <w:t>English Learners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7.1%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12.3%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17.4%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22.6%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27.7%</w:t>
            </w:r>
          </w:p>
        </w:tc>
        <w:tc>
          <w:tcPr>
            <w:tcW w:w="939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32.9%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</w:rPr>
              <w:t>38.1%</w:t>
            </w:r>
          </w:p>
        </w:tc>
      </w:tr>
      <w:tr w:rsidR="00194666" w:rsidRPr="00BB633C" w:rsidTr="00992A64">
        <w:tc>
          <w:tcPr>
            <w:tcW w:w="3115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Black / African American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22.2%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26.5%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30.8%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35.2%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39.5%</w:t>
            </w:r>
          </w:p>
        </w:tc>
        <w:tc>
          <w:tcPr>
            <w:tcW w:w="939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43.8%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48.1%</w:t>
            </w:r>
          </w:p>
        </w:tc>
      </w:tr>
      <w:tr w:rsidR="00194666" w:rsidRPr="00BB633C" w:rsidTr="00992A64">
        <w:tc>
          <w:tcPr>
            <w:tcW w:w="3115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Asian or Pacific Islander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56.8%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59.2%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61.6%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64.0%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66.4%</w:t>
            </w:r>
          </w:p>
        </w:tc>
        <w:tc>
          <w:tcPr>
            <w:tcW w:w="939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68.8%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71.2%</w:t>
            </w:r>
          </w:p>
        </w:tc>
      </w:tr>
      <w:tr w:rsidR="00194666" w:rsidRPr="00BB633C" w:rsidTr="00992A64">
        <w:tc>
          <w:tcPr>
            <w:tcW w:w="3115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American Indian or Alaskan Native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19.4%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23.9%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28.4%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32.8%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37.3%</w:t>
            </w:r>
          </w:p>
        </w:tc>
        <w:tc>
          <w:tcPr>
            <w:tcW w:w="939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41.8%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46.3%</w:t>
            </w:r>
          </w:p>
        </w:tc>
      </w:tr>
      <w:tr w:rsidR="00194666" w:rsidRPr="00BB633C" w:rsidTr="00992A64">
        <w:tc>
          <w:tcPr>
            <w:tcW w:w="3115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Hispanic or Latino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22.0%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26.3%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30.7%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35.0%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39.3%</w:t>
            </w:r>
          </w:p>
        </w:tc>
        <w:tc>
          <w:tcPr>
            <w:tcW w:w="939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43.7%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48.0%</w:t>
            </w:r>
          </w:p>
        </w:tc>
      </w:tr>
      <w:tr w:rsidR="00194666" w:rsidRPr="00BB633C" w:rsidTr="00992A64">
        <w:tc>
          <w:tcPr>
            <w:tcW w:w="3115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 xml:space="preserve">Native Hawaiian / </w:t>
            </w:r>
            <w:proofErr w:type="gramStart"/>
            <w:r w:rsidRPr="00BB633C">
              <w:rPr>
                <w:rFonts w:cs="Calibri"/>
                <w:color w:val="333333"/>
                <w:szCs w:val="24"/>
              </w:rPr>
              <w:t>Other</w:t>
            </w:r>
            <w:proofErr w:type="gramEnd"/>
            <w:r w:rsidRPr="00BB633C">
              <w:rPr>
                <w:rFonts w:cs="Calibri"/>
                <w:color w:val="333333"/>
                <w:szCs w:val="24"/>
              </w:rPr>
              <w:t xml:space="preserve"> Pacific Islander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33.6%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37.3%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41.0%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44.7%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48.4%</w:t>
            </w:r>
          </w:p>
        </w:tc>
        <w:tc>
          <w:tcPr>
            <w:tcW w:w="939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52.0%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55.7%</w:t>
            </w:r>
          </w:p>
        </w:tc>
      </w:tr>
      <w:tr w:rsidR="00194666" w:rsidRPr="00BB633C" w:rsidTr="00992A64">
        <w:tc>
          <w:tcPr>
            <w:tcW w:w="3115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White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46.6%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49.6%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52.5%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55.5%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58.5%</w:t>
            </w:r>
          </w:p>
        </w:tc>
        <w:tc>
          <w:tcPr>
            <w:tcW w:w="939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61.4%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64.4%</w:t>
            </w:r>
          </w:p>
        </w:tc>
      </w:tr>
      <w:tr w:rsidR="00194666" w:rsidRPr="00BB633C" w:rsidTr="00992A64">
        <w:tc>
          <w:tcPr>
            <w:tcW w:w="3115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Two Or More Races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42.2%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45.4%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48.6%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51.8%</w:t>
            </w:r>
          </w:p>
        </w:tc>
        <w:tc>
          <w:tcPr>
            <w:tcW w:w="89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55.0%</w:t>
            </w:r>
          </w:p>
        </w:tc>
        <w:tc>
          <w:tcPr>
            <w:tcW w:w="939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58.3%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61.5%</w:t>
            </w:r>
          </w:p>
        </w:tc>
      </w:tr>
    </w:tbl>
    <w:p w:rsidR="00194666" w:rsidRDefault="00194666" w:rsidP="00194666"/>
    <w:p w:rsidR="00194666" w:rsidRDefault="00194666" w:rsidP="00194666">
      <w:r>
        <w:br w:type="page"/>
      </w:r>
    </w:p>
    <w:p w:rsidR="00194666" w:rsidRDefault="00194666" w:rsidP="00194666">
      <w:pPr>
        <w:pStyle w:val="Heading2"/>
      </w:pPr>
      <w:r w:rsidRPr="00BB633C">
        <w:lastRenderedPageBreak/>
        <w:t>English Language Arts/Literacy</w:t>
      </w:r>
      <w:r>
        <w:t>:</w:t>
      </w:r>
    </w:p>
    <w:p w:rsidR="00194666" w:rsidRPr="00BB633C" w:rsidRDefault="00194666" w:rsidP="00194666">
      <w:pPr>
        <w:pStyle w:val="Heading3"/>
      </w:pPr>
      <w:r w:rsidRPr="00BB633C">
        <w:t>2016 baseline, 2022 long-term goal, and 2017-2021 interim targets</w:t>
      </w:r>
    </w:p>
    <w:tbl>
      <w:tblPr>
        <w:tblStyle w:val="Proposa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nglish Language Arts/Literacy baseline - 2016, long-term goals - 2022 and interim targets - 2017-2021"/>
      </w:tblPr>
      <w:tblGrid>
        <w:gridCol w:w="3148"/>
        <w:gridCol w:w="886"/>
        <w:gridCol w:w="886"/>
        <w:gridCol w:w="886"/>
        <w:gridCol w:w="886"/>
        <w:gridCol w:w="886"/>
        <w:gridCol w:w="886"/>
        <w:gridCol w:w="886"/>
      </w:tblGrid>
      <w:tr w:rsidR="00194666" w:rsidRPr="00BB633C" w:rsidTr="0099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pStyle w:val="HeadingListStyle"/>
              <w:numPr>
                <w:ilvl w:val="0"/>
                <w:numId w:val="0"/>
              </w:numPr>
              <w:jc w:val="center"/>
            </w:pPr>
            <w:r w:rsidRPr="00BB633C">
              <w:t>ELA/Literacy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2016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2017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2018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2019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2020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2021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2022</w:t>
            </w:r>
          </w:p>
        </w:tc>
      </w:tr>
      <w:tr w:rsidR="00194666" w:rsidRPr="00BB633C" w:rsidTr="00992A64">
        <w:tc>
          <w:tcPr>
            <w:tcW w:w="3148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All Students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53.0%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55.6%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58.2%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60.8%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63.4%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66.1%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68.7%</w:t>
            </w:r>
          </w:p>
        </w:tc>
      </w:tr>
      <w:tr w:rsidR="00194666" w:rsidRPr="00BB633C" w:rsidTr="00992A64">
        <w:tc>
          <w:tcPr>
            <w:tcW w:w="3148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 xml:space="preserve">Economically Disadvantaged 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40.6%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43.9%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47.2%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50.5%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53.8%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57.1%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60.4%</w:t>
            </w:r>
          </w:p>
        </w:tc>
      </w:tr>
      <w:tr w:rsidR="00194666" w:rsidRPr="00BB633C" w:rsidTr="00992A64">
        <w:tc>
          <w:tcPr>
            <w:tcW w:w="3148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Students with Disabilities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15.0%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19.7%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24.4%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29.2%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33.9%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38.6%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43.3%</w:t>
            </w:r>
          </w:p>
        </w:tc>
      </w:tr>
      <w:tr w:rsidR="00194666" w:rsidRPr="00BB633C" w:rsidTr="00992A64">
        <w:tc>
          <w:tcPr>
            <w:tcW w:w="3148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English Learners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6.9%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12.1%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17.2%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22.4%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27.6%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32.8%</w:t>
            </w:r>
          </w:p>
        </w:tc>
        <w:tc>
          <w:tcPr>
            <w:tcW w:w="886" w:type="dxa"/>
            <w:vAlign w:val="center"/>
          </w:tcPr>
          <w:p w:rsidR="00194666" w:rsidRPr="00BB633C" w:rsidRDefault="00194666" w:rsidP="00992A64">
            <w:pPr>
              <w:spacing w:after="0"/>
            </w:pPr>
            <w:r w:rsidRPr="00BB633C">
              <w:t>37.9%</w:t>
            </w:r>
          </w:p>
        </w:tc>
      </w:tr>
      <w:tr w:rsidR="00194666" w:rsidRPr="00BB633C" w:rsidTr="00992A64">
        <w:tc>
          <w:tcPr>
            <w:tcW w:w="3148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Black / African American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34.1%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37.8%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41.4%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45.1%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48.7%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52.4%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56.1%</w:t>
            </w:r>
          </w:p>
        </w:tc>
      </w:tr>
      <w:tr w:rsidR="00194666" w:rsidRPr="00BB633C" w:rsidTr="00992A64">
        <w:tc>
          <w:tcPr>
            <w:tcW w:w="3148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Asian or Pacific Islander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65.0%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66.9%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68.9%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70.8%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72.8%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74.7%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76.7%</w:t>
            </w:r>
          </w:p>
        </w:tc>
      </w:tr>
      <w:tr w:rsidR="00194666" w:rsidRPr="00BB633C" w:rsidTr="00992A64">
        <w:tc>
          <w:tcPr>
            <w:tcW w:w="3148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American Indian or Alaskan Native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30.6%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34.5%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38.3%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42.2%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46.0%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49.9%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53.7%</w:t>
            </w:r>
          </w:p>
        </w:tc>
      </w:tr>
      <w:tr w:rsidR="00194666" w:rsidRPr="00BB633C" w:rsidTr="00992A64">
        <w:tc>
          <w:tcPr>
            <w:tcW w:w="3148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Hispanic or Latino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33.6%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37.3%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41.0%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44.7%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48.4%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52.0%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55.7%</w:t>
            </w:r>
          </w:p>
        </w:tc>
      </w:tr>
      <w:tr w:rsidR="00194666" w:rsidRPr="00BB633C" w:rsidTr="00992A64">
        <w:tc>
          <w:tcPr>
            <w:tcW w:w="3148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 xml:space="preserve">Native Hawaiian / </w:t>
            </w:r>
            <w:proofErr w:type="gramStart"/>
            <w:r w:rsidRPr="00BB633C">
              <w:rPr>
                <w:rFonts w:cs="Calibri"/>
                <w:color w:val="333333"/>
                <w:szCs w:val="24"/>
              </w:rPr>
              <w:t>Other</w:t>
            </w:r>
            <w:proofErr w:type="gramEnd"/>
            <w:r w:rsidRPr="00BB633C">
              <w:rPr>
                <w:rFonts w:cs="Calibri"/>
                <w:color w:val="333333"/>
                <w:szCs w:val="24"/>
              </w:rPr>
              <w:t xml:space="preserve"> Pacific Islander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46.7%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49.7%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52.6%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55.6%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58.5%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61.5%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</w:pPr>
            <w:r w:rsidRPr="00BB633C">
              <w:rPr>
                <w:rFonts w:cs="Calibri"/>
                <w:color w:val="333333"/>
                <w:szCs w:val="24"/>
              </w:rPr>
              <w:t>64.5%</w:t>
            </w:r>
          </w:p>
        </w:tc>
      </w:tr>
      <w:tr w:rsidR="00194666" w:rsidRPr="00BB633C" w:rsidTr="00992A64">
        <w:tc>
          <w:tcPr>
            <w:tcW w:w="3148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White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57.9%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60.2%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62.6%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64.9%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67.3%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69.6%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71.9%</w:t>
            </w:r>
          </w:p>
        </w:tc>
      </w:tr>
      <w:tr w:rsidR="00194666" w:rsidRPr="00BB633C" w:rsidTr="00992A64">
        <w:tc>
          <w:tcPr>
            <w:tcW w:w="3148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Two Or More Races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54.5%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57.0%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59.6%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62.1%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64.6%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67.1%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spacing w:after="0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69.7%</w:t>
            </w:r>
          </w:p>
        </w:tc>
      </w:tr>
    </w:tbl>
    <w:p w:rsidR="00194666" w:rsidRDefault="00194666" w:rsidP="00194666"/>
    <w:p w:rsidR="00194666" w:rsidRDefault="00194666" w:rsidP="00194666">
      <w:r>
        <w:br w:type="page"/>
      </w:r>
    </w:p>
    <w:p w:rsidR="00194666" w:rsidRDefault="00194666" w:rsidP="00194666">
      <w:pPr>
        <w:pStyle w:val="Heading1"/>
      </w:pPr>
      <w:r w:rsidRPr="00BB633C">
        <w:lastRenderedPageBreak/>
        <w:t>Graduation Rates</w:t>
      </w:r>
      <w:r>
        <w:t xml:space="preserve"> </w:t>
      </w:r>
    </w:p>
    <w:p w:rsidR="00194666" w:rsidRDefault="00194666" w:rsidP="00194666">
      <w:pPr>
        <w:pStyle w:val="Heading2"/>
      </w:pPr>
      <w:r>
        <w:t xml:space="preserve">4-year </w:t>
      </w:r>
      <w:r w:rsidRPr="00BB633C">
        <w:t xml:space="preserve">Graduation </w:t>
      </w:r>
      <w:r>
        <w:t>R</w:t>
      </w:r>
      <w:r w:rsidRPr="00BB633C">
        <w:t>ate</w:t>
      </w:r>
    </w:p>
    <w:p w:rsidR="00194666" w:rsidRPr="00BB633C" w:rsidRDefault="00194666" w:rsidP="00194666">
      <w:pPr>
        <w:pStyle w:val="Heading3"/>
      </w:pPr>
      <w:r>
        <w:t xml:space="preserve">Class of </w:t>
      </w:r>
      <w:r w:rsidRPr="00BB633C">
        <w:rPr>
          <w:rFonts w:eastAsia="Calibri"/>
        </w:rPr>
        <w:t xml:space="preserve">2016 baseline, </w:t>
      </w:r>
      <w:r>
        <w:rPr>
          <w:rFonts w:eastAsia="Calibri"/>
        </w:rPr>
        <w:t xml:space="preserve">Class of </w:t>
      </w:r>
      <w:r w:rsidRPr="00BB633C">
        <w:rPr>
          <w:rFonts w:eastAsia="Calibri"/>
        </w:rPr>
        <w:t xml:space="preserve">2022 long-term goal, and </w:t>
      </w:r>
      <w:r>
        <w:rPr>
          <w:rFonts w:eastAsia="Calibri"/>
        </w:rPr>
        <w:t xml:space="preserve">Class of </w:t>
      </w:r>
      <w:r w:rsidRPr="00BB633C">
        <w:rPr>
          <w:rFonts w:eastAsia="Calibri"/>
        </w:rPr>
        <w:t>2017-2021 interim targets</w:t>
      </w:r>
    </w:p>
    <w:tbl>
      <w:tblPr>
        <w:tblStyle w:val="Proposa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Graduation Rate baseline - 2016, long-term goals - 2022 and interim targets - 2017-2021"/>
      </w:tblPr>
      <w:tblGrid>
        <w:gridCol w:w="2788"/>
        <w:gridCol w:w="886"/>
        <w:gridCol w:w="886"/>
        <w:gridCol w:w="886"/>
        <w:gridCol w:w="886"/>
        <w:gridCol w:w="886"/>
        <w:gridCol w:w="886"/>
        <w:gridCol w:w="886"/>
      </w:tblGrid>
      <w:tr w:rsidR="00194666" w:rsidRPr="00BB633C" w:rsidTr="005F1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194666">
            <w:pPr>
              <w:pStyle w:val="HeadingListStyle"/>
              <w:numPr>
                <w:ilvl w:val="0"/>
                <w:numId w:val="0"/>
              </w:numPr>
              <w:jc w:val="center"/>
            </w:pPr>
            <w:r>
              <w:t xml:space="preserve">4-year </w:t>
            </w:r>
            <w:r w:rsidRPr="00BB633C">
              <w:t>Graduation Rate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2016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2017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2018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2019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2020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2021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2022</w:t>
            </w:r>
          </w:p>
        </w:tc>
      </w:tr>
      <w:tr w:rsidR="00194666" w:rsidRPr="00BB633C" w:rsidTr="005F1744">
        <w:tc>
          <w:tcPr>
            <w:tcW w:w="2788" w:type="dxa"/>
            <w:vAlign w:val="center"/>
          </w:tcPr>
          <w:p w:rsidR="00194666" w:rsidRPr="00BB633C" w:rsidRDefault="00194666" w:rsidP="00992A64">
            <w:r w:rsidRPr="00BB633C">
              <w:t>All Students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79.7%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82.2%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84.8%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87.3%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89.9%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92.4%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94.9%</w:t>
            </w:r>
          </w:p>
        </w:tc>
      </w:tr>
      <w:tr w:rsidR="00194666" w:rsidRPr="00BB633C" w:rsidTr="005F1744">
        <w:tc>
          <w:tcPr>
            <w:tcW w:w="2788" w:type="dxa"/>
            <w:vAlign w:val="center"/>
          </w:tcPr>
          <w:p w:rsidR="00194666" w:rsidRPr="00BB633C" w:rsidRDefault="00194666" w:rsidP="00992A64">
            <w:r w:rsidRPr="00BB633C">
              <w:t>Economically Disadvantaged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71.9%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75.4%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78.9%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82.4%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86.0%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89.5%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93.0%</w:t>
            </w:r>
          </w:p>
        </w:tc>
      </w:tr>
      <w:tr w:rsidR="00194666" w:rsidRPr="00BB633C" w:rsidTr="005F1744">
        <w:tc>
          <w:tcPr>
            <w:tcW w:w="2788" w:type="dxa"/>
            <w:vAlign w:val="center"/>
          </w:tcPr>
          <w:p w:rsidR="00194666" w:rsidRPr="00BB633C" w:rsidRDefault="00194666" w:rsidP="00992A64">
            <w:r w:rsidRPr="00BB633C">
              <w:t>Students with Disabilities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60.5%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65.4%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70.4%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75.3%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80.3%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85.2%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90.1%</w:t>
            </w:r>
          </w:p>
        </w:tc>
      </w:tr>
      <w:tr w:rsidR="00194666" w:rsidRPr="00BB633C" w:rsidTr="005F1744">
        <w:tc>
          <w:tcPr>
            <w:tcW w:w="2788" w:type="dxa"/>
            <w:vAlign w:val="center"/>
          </w:tcPr>
          <w:p w:rsidR="00194666" w:rsidRPr="00BB633C" w:rsidRDefault="00194666" w:rsidP="00992A64">
            <w:r w:rsidRPr="00BB633C">
              <w:t>English Learners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73.3%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76.6%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80.0%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83.3%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86.7%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90.0%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 w:val="22"/>
              </w:rPr>
              <w:t>93.3%</w:t>
            </w:r>
          </w:p>
        </w:tc>
      </w:tr>
      <w:tr w:rsidR="00194666" w:rsidRPr="00BB633C" w:rsidTr="005F1744">
        <w:tc>
          <w:tcPr>
            <w:tcW w:w="2788" w:type="dxa"/>
          </w:tcPr>
          <w:p w:rsidR="00194666" w:rsidRPr="00BB633C" w:rsidRDefault="00194666" w:rsidP="00992A64">
            <w:r w:rsidRPr="00BB633C">
              <w:rPr>
                <w:rFonts w:cs="Calibri"/>
                <w:color w:val="333333"/>
                <w:szCs w:val="24"/>
              </w:rPr>
              <w:t>Black / African American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77.8%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80.6%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83.4%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86.1%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88.9%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91.7%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94.5%</w:t>
            </w:r>
          </w:p>
        </w:tc>
      </w:tr>
      <w:tr w:rsidR="00194666" w:rsidRPr="00BB633C" w:rsidTr="005F1744">
        <w:tc>
          <w:tcPr>
            <w:tcW w:w="2788" w:type="dxa"/>
          </w:tcPr>
          <w:p w:rsidR="00194666" w:rsidRPr="00BB633C" w:rsidRDefault="00194666" w:rsidP="00992A64">
            <w:r w:rsidRPr="00BB633C">
              <w:rPr>
                <w:rFonts w:cs="Calibri"/>
                <w:color w:val="333333"/>
                <w:szCs w:val="24"/>
              </w:rPr>
              <w:t>Asian or Pacific Islander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83.1%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85.2%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87.3%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89.4%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91.6%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93.7%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95.8%</w:t>
            </w:r>
          </w:p>
        </w:tc>
      </w:tr>
      <w:tr w:rsidR="00194666" w:rsidRPr="00BB633C" w:rsidTr="005F1744">
        <w:tc>
          <w:tcPr>
            <w:tcW w:w="2788" w:type="dxa"/>
          </w:tcPr>
          <w:p w:rsidR="00194666" w:rsidRPr="00BB633C" w:rsidRDefault="00194666" w:rsidP="00992A64">
            <w:r w:rsidRPr="00BB633C">
              <w:rPr>
                <w:rFonts w:cs="Calibri"/>
                <w:color w:val="333333"/>
                <w:szCs w:val="24"/>
              </w:rPr>
              <w:t>American Indian or Alaskan Native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58.5%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63.7%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68.9%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74.1%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79.3%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84.4%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89.6%</w:t>
            </w:r>
          </w:p>
        </w:tc>
      </w:tr>
      <w:tr w:rsidR="00194666" w:rsidRPr="00BB633C" w:rsidTr="005F1744">
        <w:tc>
          <w:tcPr>
            <w:tcW w:w="2788" w:type="dxa"/>
          </w:tcPr>
          <w:p w:rsidR="00194666" w:rsidRPr="00BB633C" w:rsidRDefault="00194666" w:rsidP="00992A64">
            <w:r w:rsidRPr="00BB633C">
              <w:rPr>
                <w:rFonts w:cs="Calibri"/>
                <w:color w:val="333333"/>
                <w:szCs w:val="24"/>
              </w:rPr>
              <w:t>Hispanic or Latino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73.7%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77.0%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80.3%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83.6%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86.9%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90.1%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</w:pPr>
            <w:r w:rsidRPr="00BB633C">
              <w:rPr>
                <w:rFonts w:cs="Calibri"/>
                <w:color w:val="333333"/>
                <w:szCs w:val="24"/>
              </w:rPr>
              <w:t>93.4%</w:t>
            </w:r>
          </w:p>
        </w:tc>
      </w:tr>
      <w:tr w:rsidR="00194666" w:rsidRPr="00BB633C" w:rsidTr="005F1744">
        <w:tc>
          <w:tcPr>
            <w:tcW w:w="2788" w:type="dxa"/>
          </w:tcPr>
          <w:p w:rsidR="00194666" w:rsidRPr="00BB633C" w:rsidRDefault="00194666" w:rsidP="00992A64">
            <w:pPr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 xml:space="preserve">Native Hawaiian / </w:t>
            </w:r>
            <w:proofErr w:type="gramStart"/>
            <w:r w:rsidRPr="00BB633C">
              <w:rPr>
                <w:rFonts w:cs="Calibri"/>
                <w:color w:val="333333"/>
                <w:szCs w:val="24"/>
              </w:rPr>
              <w:t>Other</w:t>
            </w:r>
            <w:proofErr w:type="gramEnd"/>
            <w:r w:rsidRPr="00BB633C">
              <w:rPr>
                <w:rFonts w:cs="Calibri"/>
                <w:color w:val="333333"/>
                <w:szCs w:val="24"/>
              </w:rPr>
              <w:t xml:space="preserve"> Pacific Islander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69.7%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73.5%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77.3%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81.1%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84.9%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88.6%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92.4%</w:t>
            </w:r>
          </w:p>
        </w:tc>
      </w:tr>
      <w:tr w:rsidR="00194666" w:rsidRPr="00BB633C" w:rsidTr="005F1744">
        <w:tc>
          <w:tcPr>
            <w:tcW w:w="2788" w:type="dxa"/>
          </w:tcPr>
          <w:p w:rsidR="00194666" w:rsidRPr="00BB633C" w:rsidRDefault="00194666" w:rsidP="00992A64">
            <w:pPr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White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81.3%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83.6%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86.0%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88.3%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90.7%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93.0%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95.3%</w:t>
            </w:r>
          </w:p>
        </w:tc>
      </w:tr>
      <w:tr w:rsidR="00194666" w:rsidRPr="00BB633C" w:rsidTr="005F1744">
        <w:tc>
          <w:tcPr>
            <w:tcW w:w="2788" w:type="dxa"/>
          </w:tcPr>
          <w:p w:rsidR="00194666" w:rsidRPr="00BB633C" w:rsidRDefault="00194666" w:rsidP="00992A64">
            <w:pPr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Two Or More Races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77.3%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80.1%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83.0%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85.8%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88.7%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91.5%</w:t>
            </w:r>
          </w:p>
        </w:tc>
        <w:tc>
          <w:tcPr>
            <w:tcW w:w="886" w:type="dxa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94.3%</w:t>
            </w:r>
          </w:p>
        </w:tc>
      </w:tr>
    </w:tbl>
    <w:p w:rsidR="00194666" w:rsidRDefault="00194666" w:rsidP="00194666">
      <w:pPr>
        <w:pStyle w:val="HeadingListStyle"/>
        <w:numPr>
          <w:ilvl w:val="0"/>
          <w:numId w:val="0"/>
        </w:numPr>
        <w:rPr>
          <w:b/>
        </w:rPr>
      </w:pPr>
    </w:p>
    <w:p w:rsidR="00194666" w:rsidRDefault="00194666">
      <w:pPr>
        <w:spacing w:after="0" w:line="240" w:lineRule="auto"/>
      </w:pPr>
      <w:r>
        <w:br w:type="page"/>
      </w:r>
    </w:p>
    <w:p w:rsidR="00194666" w:rsidRDefault="00194666" w:rsidP="00C03642">
      <w:pPr>
        <w:pStyle w:val="Heading2"/>
      </w:pPr>
      <w:r>
        <w:lastRenderedPageBreak/>
        <w:t>5-year Graduation Rate</w:t>
      </w:r>
    </w:p>
    <w:p w:rsidR="00194666" w:rsidRPr="004D7253" w:rsidRDefault="00194666" w:rsidP="00C03642">
      <w:pPr>
        <w:pStyle w:val="Heading3"/>
        <w:rPr>
          <w:rFonts w:eastAsia="Calibri"/>
        </w:rPr>
      </w:pPr>
      <w:r>
        <w:t>Class of 2017</w:t>
      </w:r>
      <w:r w:rsidRPr="008A2DC6">
        <w:rPr>
          <w:rFonts w:eastAsia="Calibri"/>
        </w:rPr>
        <w:t xml:space="preserve"> baseline, </w:t>
      </w:r>
      <w:r>
        <w:rPr>
          <w:rFonts w:eastAsia="Calibri"/>
        </w:rPr>
        <w:t xml:space="preserve">Class of </w:t>
      </w:r>
      <w:r w:rsidRPr="008A2DC6">
        <w:rPr>
          <w:rFonts w:eastAsia="Calibri"/>
        </w:rPr>
        <w:t xml:space="preserve">2022 long-term goal, and </w:t>
      </w:r>
      <w:r>
        <w:rPr>
          <w:rFonts w:eastAsia="Calibri"/>
        </w:rPr>
        <w:t>Class of 2019-2021 interim targets</w:t>
      </w:r>
    </w:p>
    <w:tbl>
      <w:tblPr>
        <w:tblStyle w:val="Proposal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Graduation Rate baseline - 2016, long-term goals - 2022 and interim targets - 2017-2021"/>
      </w:tblPr>
      <w:tblGrid>
        <w:gridCol w:w="2485"/>
        <w:gridCol w:w="1198"/>
        <w:gridCol w:w="943"/>
        <w:gridCol w:w="943"/>
        <w:gridCol w:w="943"/>
        <w:gridCol w:w="943"/>
        <w:gridCol w:w="943"/>
      </w:tblGrid>
      <w:tr w:rsidR="00194666" w:rsidRPr="00BB633C" w:rsidTr="005F1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6"/>
          <w:tblHeader/>
        </w:trPr>
        <w:tc>
          <w:tcPr>
            <w:tcW w:w="2485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pStyle w:val="HeadingListStyle"/>
              <w:numPr>
                <w:ilvl w:val="0"/>
                <w:numId w:val="0"/>
              </w:numPr>
              <w:jc w:val="center"/>
            </w:pPr>
            <w:proofErr w:type="gramStart"/>
            <w:r>
              <w:t>5 year</w:t>
            </w:r>
            <w:proofErr w:type="gramEnd"/>
            <w:r>
              <w:t xml:space="preserve"> </w:t>
            </w:r>
            <w:r w:rsidRPr="00BB633C">
              <w:t>Graduation Rate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194666" w:rsidRDefault="00194666" w:rsidP="00992A64">
            <w:pPr>
              <w:jc w:val="center"/>
            </w:pPr>
            <w:r>
              <w:t>Baseline</w:t>
            </w:r>
          </w:p>
          <w:p w:rsidR="00194666" w:rsidRPr="00BB633C" w:rsidRDefault="00194666" w:rsidP="00992A64">
            <w:pPr>
              <w:jc w:val="center"/>
            </w:pPr>
            <w:r>
              <w:t>Class of 2017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>
              <w:t>Class of 2018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>
              <w:t>Class of 2019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>
              <w:t>Class of 2020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>
              <w:t>Class of 2021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194666" w:rsidRDefault="00194666" w:rsidP="00992A64">
            <w:pPr>
              <w:jc w:val="center"/>
            </w:pPr>
            <w:r>
              <w:t>Class of 2022</w:t>
            </w:r>
          </w:p>
        </w:tc>
      </w:tr>
      <w:tr w:rsidR="00194666" w:rsidRPr="00BB633C" w:rsidTr="005F1744">
        <w:trPr>
          <w:trHeight w:val="576"/>
        </w:trPr>
        <w:tc>
          <w:tcPr>
            <w:tcW w:w="2485" w:type="dxa"/>
            <w:vAlign w:val="center"/>
          </w:tcPr>
          <w:p w:rsidR="00194666" w:rsidRPr="00BB633C" w:rsidRDefault="00194666" w:rsidP="00992A64">
            <w:r w:rsidRPr="00BB633C">
              <w:t>All Students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82.00%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84.7%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87.4%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90.1%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92.8%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95.5%</w:t>
            </w:r>
          </w:p>
        </w:tc>
      </w:tr>
      <w:tr w:rsidR="00194666" w:rsidRPr="00BB633C" w:rsidTr="005F1744">
        <w:trPr>
          <w:trHeight w:val="884"/>
        </w:trPr>
        <w:tc>
          <w:tcPr>
            <w:tcW w:w="2485" w:type="dxa"/>
            <w:vAlign w:val="center"/>
          </w:tcPr>
          <w:p w:rsidR="00194666" w:rsidRPr="00BB633C" w:rsidRDefault="00194666" w:rsidP="00992A64">
            <w:r w:rsidRPr="00BB633C">
              <w:t>Economically Disadvantaged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75.00%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78.8%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82.5%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86.3%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90.0%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93.8%</w:t>
            </w:r>
          </w:p>
        </w:tc>
      </w:tr>
      <w:tr w:rsidR="00194666" w:rsidRPr="00BB633C" w:rsidTr="005F1744">
        <w:trPr>
          <w:trHeight w:val="884"/>
        </w:trPr>
        <w:tc>
          <w:tcPr>
            <w:tcW w:w="2485" w:type="dxa"/>
            <w:vAlign w:val="center"/>
          </w:tcPr>
          <w:p w:rsidR="00194666" w:rsidRPr="00BB633C" w:rsidRDefault="00194666" w:rsidP="00992A64">
            <w:r w:rsidRPr="00BB633C">
              <w:t>Students with Disabilities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65.50%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70.7%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75.9%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81.0%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86.2%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91.4%</w:t>
            </w:r>
          </w:p>
        </w:tc>
      </w:tr>
      <w:tr w:rsidR="00194666" w:rsidRPr="00BB633C" w:rsidTr="005F1744">
        <w:trPr>
          <w:trHeight w:val="576"/>
        </w:trPr>
        <w:tc>
          <w:tcPr>
            <w:tcW w:w="2485" w:type="dxa"/>
            <w:vAlign w:val="center"/>
          </w:tcPr>
          <w:p w:rsidR="00194666" w:rsidRPr="00BB633C" w:rsidRDefault="00194666" w:rsidP="00992A64">
            <w:r w:rsidRPr="00BB633C">
              <w:t>English Learners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79.30%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82.4%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85.5%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88.6%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91.7%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94.8%</w:t>
            </w:r>
          </w:p>
        </w:tc>
      </w:tr>
      <w:tr w:rsidR="00194666" w:rsidRPr="00BB633C" w:rsidTr="005F1744">
        <w:trPr>
          <w:trHeight w:val="884"/>
        </w:trPr>
        <w:tc>
          <w:tcPr>
            <w:tcW w:w="2485" w:type="dxa"/>
          </w:tcPr>
          <w:p w:rsidR="00194666" w:rsidRPr="00BB633C" w:rsidRDefault="00194666" w:rsidP="00992A64">
            <w:r w:rsidRPr="00BB633C">
              <w:rPr>
                <w:rFonts w:cs="Calibri"/>
                <w:color w:val="333333"/>
                <w:szCs w:val="24"/>
              </w:rPr>
              <w:t>Black / African American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75.60%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79.3%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82.9%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86.6%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90.2%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93.9%</w:t>
            </w:r>
          </w:p>
        </w:tc>
      </w:tr>
      <w:tr w:rsidR="00194666" w:rsidRPr="00BB633C" w:rsidTr="005F1744">
        <w:trPr>
          <w:trHeight w:val="884"/>
        </w:trPr>
        <w:tc>
          <w:tcPr>
            <w:tcW w:w="2485" w:type="dxa"/>
          </w:tcPr>
          <w:p w:rsidR="00194666" w:rsidRPr="00BB633C" w:rsidRDefault="00194666" w:rsidP="00992A64">
            <w:r w:rsidRPr="00BB633C">
              <w:rPr>
                <w:rFonts w:cs="Calibri"/>
                <w:color w:val="333333"/>
                <w:szCs w:val="24"/>
              </w:rPr>
              <w:t>Asian or Pacific Islander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88.00%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89.8%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91.6%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93.4%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95.2%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97.0%</w:t>
            </w:r>
          </w:p>
        </w:tc>
      </w:tr>
      <w:tr w:rsidR="00194666" w:rsidRPr="00BB633C" w:rsidTr="005F1744">
        <w:trPr>
          <w:trHeight w:val="884"/>
        </w:trPr>
        <w:tc>
          <w:tcPr>
            <w:tcW w:w="2485" w:type="dxa"/>
          </w:tcPr>
          <w:p w:rsidR="00194666" w:rsidRPr="00BB633C" w:rsidRDefault="00194666" w:rsidP="00992A64">
            <w:r w:rsidRPr="00BB633C">
              <w:rPr>
                <w:rFonts w:cs="Calibri"/>
                <w:color w:val="333333"/>
                <w:szCs w:val="24"/>
              </w:rPr>
              <w:t>American Indian or Alaskan Native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67.50%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72.4%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77.3%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82.1%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87.0%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91.9%</w:t>
            </w:r>
          </w:p>
        </w:tc>
      </w:tr>
      <w:tr w:rsidR="00194666" w:rsidRPr="00BB633C" w:rsidTr="005F1744">
        <w:trPr>
          <w:trHeight w:val="589"/>
        </w:trPr>
        <w:tc>
          <w:tcPr>
            <w:tcW w:w="2485" w:type="dxa"/>
          </w:tcPr>
          <w:p w:rsidR="00194666" w:rsidRPr="00BB633C" w:rsidRDefault="00194666" w:rsidP="00992A64">
            <w:r w:rsidRPr="00BB633C">
              <w:rPr>
                <w:rFonts w:cs="Calibri"/>
                <w:color w:val="333333"/>
                <w:szCs w:val="24"/>
              </w:rPr>
              <w:t>Hispanic or Latino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78.40%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81.6%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84.9%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88.1%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91.4%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</w:pPr>
            <w:r>
              <w:rPr>
                <w:rFonts w:cs="Calibri"/>
                <w:color w:val="000000"/>
                <w:sz w:val="22"/>
              </w:rPr>
              <w:t>94.6%</w:t>
            </w:r>
          </w:p>
        </w:tc>
      </w:tr>
      <w:tr w:rsidR="00194666" w:rsidRPr="00BB633C" w:rsidTr="005F1744">
        <w:trPr>
          <w:trHeight w:val="1179"/>
        </w:trPr>
        <w:tc>
          <w:tcPr>
            <w:tcW w:w="2485" w:type="dxa"/>
          </w:tcPr>
          <w:p w:rsidR="00194666" w:rsidRPr="00BB633C" w:rsidRDefault="00194666" w:rsidP="00992A64">
            <w:pPr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 xml:space="preserve">Native Hawaiian / </w:t>
            </w:r>
            <w:proofErr w:type="gramStart"/>
            <w:r w:rsidRPr="00BB633C">
              <w:rPr>
                <w:rFonts w:cs="Calibri"/>
                <w:color w:val="333333"/>
                <w:szCs w:val="24"/>
              </w:rPr>
              <w:t>Other</w:t>
            </w:r>
            <w:proofErr w:type="gramEnd"/>
            <w:r w:rsidRPr="00BB633C">
              <w:rPr>
                <w:rFonts w:cs="Calibri"/>
                <w:color w:val="333333"/>
                <w:szCs w:val="24"/>
              </w:rPr>
              <w:t xml:space="preserve"> Pacific Islander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79.70%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82.7%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85.8%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88.8%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91.9%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94.9%</w:t>
            </w:r>
          </w:p>
        </w:tc>
      </w:tr>
      <w:tr w:rsidR="00194666" w:rsidRPr="00BB633C" w:rsidTr="005F1744">
        <w:trPr>
          <w:trHeight w:val="589"/>
        </w:trPr>
        <w:tc>
          <w:tcPr>
            <w:tcW w:w="2485" w:type="dxa"/>
          </w:tcPr>
          <w:p w:rsidR="00194666" w:rsidRPr="00BB633C" w:rsidRDefault="00194666" w:rsidP="00992A64">
            <w:pPr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White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83.10%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85.6%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88.2%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90.7%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93.2%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95.8%</w:t>
            </w:r>
          </w:p>
        </w:tc>
      </w:tr>
      <w:tr w:rsidR="00194666" w:rsidRPr="00BB633C" w:rsidTr="005F1744">
        <w:trPr>
          <w:trHeight w:val="576"/>
        </w:trPr>
        <w:tc>
          <w:tcPr>
            <w:tcW w:w="2485" w:type="dxa"/>
          </w:tcPr>
          <w:p w:rsidR="00194666" w:rsidRPr="00BB633C" w:rsidRDefault="00194666" w:rsidP="00992A64">
            <w:pPr>
              <w:rPr>
                <w:rFonts w:cs="Calibri"/>
                <w:color w:val="333333"/>
                <w:szCs w:val="24"/>
              </w:rPr>
            </w:pPr>
            <w:r w:rsidRPr="00BB633C">
              <w:rPr>
                <w:rFonts w:cs="Calibri"/>
                <w:color w:val="333333"/>
                <w:szCs w:val="24"/>
              </w:rPr>
              <w:t>Two Or More Races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79.30%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82.4%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85.5%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88.6%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91.7%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66" w:rsidRPr="00BB633C" w:rsidRDefault="00194666" w:rsidP="00992A64">
            <w:pPr>
              <w:jc w:val="center"/>
              <w:rPr>
                <w:rFonts w:cs="Calibri"/>
                <w:color w:val="333333"/>
                <w:szCs w:val="24"/>
              </w:rPr>
            </w:pPr>
            <w:r>
              <w:rPr>
                <w:rFonts w:cs="Calibri"/>
                <w:color w:val="000000"/>
                <w:sz w:val="22"/>
              </w:rPr>
              <w:t>94.8%</w:t>
            </w:r>
          </w:p>
        </w:tc>
      </w:tr>
    </w:tbl>
    <w:p w:rsidR="00194666" w:rsidRPr="00194666" w:rsidRDefault="00194666" w:rsidP="00194666"/>
    <w:p w:rsidR="00411E19" w:rsidRPr="007545B0" w:rsidRDefault="00194666" w:rsidP="00411E19">
      <w:pPr>
        <w:pStyle w:val="Heading1"/>
      </w:pPr>
      <w:r>
        <w:lastRenderedPageBreak/>
        <w:t>English Language Proficiency</w:t>
      </w:r>
      <w:r w:rsidR="00411E19">
        <w:t xml:space="preserve"> </w:t>
      </w:r>
    </w:p>
    <w:p w:rsidR="00411E19" w:rsidRPr="007545B0" w:rsidRDefault="00194666" w:rsidP="00411E19">
      <w:pPr>
        <w:pStyle w:val="Heading2"/>
      </w:pPr>
      <w:r w:rsidRPr="007545B0">
        <w:t>Progress in Achievi</w:t>
      </w:r>
      <w:r>
        <w:t>ng English Language Proficiency</w:t>
      </w:r>
      <w:r w:rsidR="00411E19">
        <w:t xml:space="preserve"> as approved in 2019 </w:t>
      </w:r>
      <w:r w:rsidR="00411E19" w:rsidRPr="007545B0">
        <w:t>Amendment</w:t>
      </w:r>
    </w:p>
    <w:p w:rsidR="00194666" w:rsidRPr="007545B0" w:rsidRDefault="00194666" w:rsidP="00194666">
      <w:pPr>
        <w:pStyle w:val="Heading3"/>
      </w:pPr>
      <w:r>
        <w:t>2018 B</w:t>
      </w:r>
      <w:r w:rsidRPr="007545B0">
        <w:t>aseline,</w:t>
      </w:r>
      <w:r>
        <w:t xml:space="preserve"> 2023 L</w:t>
      </w:r>
      <w:r w:rsidRPr="007545B0">
        <w:t>ong</w:t>
      </w:r>
      <w:r>
        <w:t>-Term goal and 2019-2022 i</w:t>
      </w:r>
      <w:r w:rsidRPr="007545B0">
        <w:t>nterim targets</w:t>
      </w:r>
    </w:p>
    <w:tbl>
      <w:tblPr>
        <w:tblStyle w:val="ProposalTable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English proficiency baseline - 2016, long-term goals - 2022 and interim targets - 2017-2021"/>
      </w:tblPr>
      <w:tblGrid>
        <w:gridCol w:w="1429"/>
        <w:gridCol w:w="1429"/>
        <w:gridCol w:w="1429"/>
        <w:gridCol w:w="1429"/>
        <w:gridCol w:w="1429"/>
        <w:gridCol w:w="1430"/>
      </w:tblGrid>
      <w:tr w:rsidR="00194666" w:rsidRPr="00BB633C" w:rsidTr="00896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6"/>
          <w:tblHeader/>
        </w:trPr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201</w:t>
            </w:r>
            <w:r>
              <w:t>8</w:t>
            </w:r>
          </w:p>
          <w:p w:rsidR="00194666" w:rsidRPr="00BB633C" w:rsidRDefault="00194666" w:rsidP="00992A64">
            <w:pPr>
              <w:jc w:val="center"/>
            </w:pPr>
            <w:r w:rsidRPr="00BB633C">
              <w:t>Baseline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 w:rsidRPr="00BB633C">
              <w:t>201</w:t>
            </w:r>
            <w:r>
              <w:t>9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>
              <w:t>2020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>
              <w:t>2021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66" w:rsidRPr="00BB633C" w:rsidRDefault="00194666" w:rsidP="00992A64">
            <w:pPr>
              <w:jc w:val="center"/>
            </w:pPr>
            <w:r>
              <w:t>2022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66" w:rsidRDefault="00194666" w:rsidP="00992A64">
            <w:pPr>
              <w:jc w:val="center"/>
            </w:pPr>
            <w:r>
              <w:t>2023</w:t>
            </w:r>
          </w:p>
          <w:p w:rsidR="00194666" w:rsidRPr="00BB633C" w:rsidRDefault="00194666" w:rsidP="00194666">
            <w:pPr>
              <w:jc w:val="center"/>
            </w:pPr>
            <w:r>
              <w:t>Long-Term Goal</w:t>
            </w:r>
          </w:p>
        </w:tc>
      </w:tr>
      <w:tr w:rsidR="00194666" w:rsidRPr="00BB633C" w:rsidTr="00896393">
        <w:trPr>
          <w:trHeight w:val="70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4666" w:rsidRPr="00BB633C" w:rsidRDefault="00194666" w:rsidP="00992A64">
            <w:pPr>
              <w:jc w:val="center"/>
            </w:pPr>
            <w:r>
              <w:t>74.07%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4666" w:rsidRPr="00BB633C" w:rsidRDefault="00194666" w:rsidP="00992A64">
            <w:pPr>
              <w:jc w:val="center"/>
            </w:pPr>
            <w:r>
              <w:t>75.80%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4666" w:rsidRPr="00BB633C" w:rsidRDefault="00194666" w:rsidP="00992A64">
            <w:pPr>
              <w:jc w:val="center"/>
            </w:pPr>
            <w:r>
              <w:t>77.53%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4666" w:rsidRPr="00BB633C" w:rsidRDefault="00194666" w:rsidP="00992A64">
            <w:pPr>
              <w:jc w:val="center"/>
            </w:pPr>
            <w:r>
              <w:t>79.26%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194666" w:rsidRPr="00BB633C" w:rsidRDefault="00194666" w:rsidP="00992A64">
            <w:pPr>
              <w:jc w:val="center"/>
            </w:pPr>
            <w:r>
              <w:t>80.98%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194666" w:rsidRPr="00BB633C" w:rsidRDefault="00194666" w:rsidP="00992A64">
            <w:pPr>
              <w:jc w:val="center"/>
            </w:pPr>
            <w:r>
              <w:t>82.71%</w:t>
            </w:r>
          </w:p>
        </w:tc>
      </w:tr>
    </w:tbl>
    <w:p w:rsidR="00194666" w:rsidRDefault="00194666" w:rsidP="00194666">
      <w:pPr>
        <w:pStyle w:val="HeadingListStyle"/>
        <w:numPr>
          <w:ilvl w:val="0"/>
          <w:numId w:val="0"/>
        </w:numPr>
      </w:pPr>
    </w:p>
    <w:p w:rsidR="00250E19" w:rsidRPr="00250E19" w:rsidRDefault="00250E19" w:rsidP="00250E19"/>
    <w:sectPr w:rsidR="00250E19" w:rsidRPr="00250E19" w:rsidSect="00C676CA">
      <w:type w:val="continuous"/>
      <w:pgSz w:w="12240" w:h="15840"/>
      <w:pgMar w:top="1440" w:right="1440" w:bottom="1440" w:left="1440" w:header="0" w:footer="1152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D35" w:rsidRDefault="00831D35" w:rsidP="00FD5CEF">
      <w:pPr>
        <w:spacing w:after="0" w:line="240" w:lineRule="auto"/>
      </w:pPr>
      <w:r>
        <w:separator/>
      </w:r>
    </w:p>
  </w:endnote>
  <w:endnote w:type="continuationSeparator" w:id="0">
    <w:p w:rsidR="00831D35" w:rsidRDefault="00831D35" w:rsidP="00FD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44" w:rsidRPr="00655F04" w:rsidRDefault="005F1744" w:rsidP="005F1744">
    <w:pPr>
      <w:pStyle w:val="Footer"/>
      <w:pBdr>
        <w:top w:val="single" w:sz="4" w:space="1" w:color="auto"/>
      </w:pBdr>
    </w:pPr>
    <w:r w:rsidRPr="00655F04">
      <w:rPr>
        <w:rFonts w:cs="Open Sans"/>
        <w:caps/>
        <w:color w:val="404040" w:themeColor="text1" w:themeTint="BF"/>
      </w:rPr>
      <w:t>CREATED</w:t>
    </w:r>
    <w:r w:rsidRPr="00132C9E">
      <w:rPr>
        <w:rFonts w:cs="Open Sans"/>
        <w:color w:val="404040" w:themeColor="text1" w:themeTint="BF"/>
      </w:rPr>
      <w:t xml:space="preserve"> </w:t>
    </w:r>
    <w:r>
      <w:rPr>
        <w:rFonts w:cs="Open Sans"/>
        <w:color w:val="404040" w:themeColor="text1" w:themeTint="BF"/>
      </w:rPr>
      <w:t>04</w:t>
    </w:r>
    <w:r w:rsidRPr="00132C9E">
      <w:rPr>
        <w:rFonts w:cs="Open Sans"/>
        <w:color w:val="404040" w:themeColor="text1" w:themeTint="BF"/>
      </w:rPr>
      <w:t>/</w:t>
    </w:r>
    <w:r>
      <w:rPr>
        <w:rFonts w:cs="Open Sans"/>
        <w:color w:val="404040" w:themeColor="text1" w:themeTint="BF"/>
      </w:rPr>
      <w:t>10</w:t>
    </w:r>
    <w:r w:rsidRPr="00132C9E">
      <w:rPr>
        <w:rFonts w:cs="Open Sans"/>
        <w:color w:val="404040" w:themeColor="text1" w:themeTint="BF"/>
      </w:rPr>
      <w:t>/</w:t>
    </w:r>
    <w:r>
      <w:rPr>
        <w:rFonts w:cs="Open Sans"/>
        <w:color w:val="404040" w:themeColor="text1" w:themeTint="BF"/>
      </w:rPr>
      <w:t>2019</w:t>
    </w:r>
    <w:r w:rsidRPr="00132C9E">
      <w:rPr>
        <w:color w:val="404040" w:themeColor="text1" w:themeTint="BF"/>
      </w:rPr>
      <w:ptab w:relativeTo="margin" w:alignment="right" w:leader="none"/>
    </w:r>
    <w:r w:rsidRPr="00132C9E">
      <w:rPr>
        <w:rFonts w:cs="Open Sans Semibold"/>
        <w:color w:val="17365D" w:themeColor="text2" w:themeShade="BF"/>
      </w:rPr>
      <w:t>&lt;&lt;</w:t>
    </w:r>
    <w:r>
      <w:rPr>
        <w:rFonts w:cs="Open Sans Semibold"/>
        <w:color w:val="17365D" w:themeColor="text2" w:themeShade="BF"/>
      </w:rPr>
      <w:t>Academic Achievement</w:t>
    </w:r>
    <w:r w:rsidRPr="00132C9E">
      <w:rPr>
        <w:rFonts w:cs="Open Sans Semibold"/>
        <w:color w:val="17365D" w:themeColor="text2" w:themeShade="BF"/>
      </w:rPr>
      <w:t>&gt;&gt;</w:t>
    </w:r>
    <w:r>
      <w:rPr>
        <w:rFonts w:cs="Open Sans Semibold"/>
        <w:color w:val="17365D" w:themeColor="text2" w:themeShade="BF"/>
      </w:rPr>
      <w:t xml:space="preserve"> </w:t>
    </w:r>
    <w:r>
      <w:rPr>
        <w:rFonts w:cs="Open Sans"/>
        <w:color w:val="404040" w:themeColor="text1" w:themeTint="BF"/>
      </w:rPr>
      <w:t>/</w:t>
    </w:r>
    <w:r w:rsidRPr="00132C9E">
      <w:rPr>
        <w:rFonts w:cs="Open Sans"/>
        <w:color w:val="404040" w:themeColor="text1" w:themeTint="BF"/>
      </w:rPr>
      <w:t xml:space="preserve"> </w:t>
    </w:r>
    <w:r>
      <w:rPr>
        <w:rFonts w:cs="Open Sans"/>
        <w:color w:val="404040" w:themeColor="text1" w:themeTint="BF"/>
      </w:rPr>
      <w:t xml:space="preserve">Assessment </w:t>
    </w:r>
    <w:proofErr w:type="gramStart"/>
    <w:r>
      <w:rPr>
        <w:rFonts w:cs="Open Sans"/>
        <w:color w:val="404040" w:themeColor="text1" w:themeTint="BF"/>
      </w:rPr>
      <w:t xml:space="preserve">/ </w:t>
    </w:r>
    <w:r w:rsidRPr="00132C9E">
      <w:rPr>
        <w:rFonts w:cs="Open Sans"/>
        <w:color w:val="404040" w:themeColor="text1" w:themeTint="BF"/>
      </w:rPr>
      <w:t xml:space="preserve"> </w:t>
    </w:r>
    <w:r>
      <w:rPr>
        <w:rFonts w:cs="Open Sans"/>
        <w:color w:val="404040" w:themeColor="text1" w:themeTint="BF"/>
      </w:rPr>
      <w:t>SDE</w:t>
    </w:r>
    <w:proofErr w:type="gramEnd"/>
    <w:r w:rsidRPr="00132C9E">
      <w:rPr>
        <w:rFonts w:cs="Open Sans"/>
        <w:color w:val="404040" w:themeColor="text1" w:themeTint="BF"/>
      </w:rPr>
      <w:t xml:space="preserve"> </w:t>
    </w:r>
    <w:r>
      <w:rPr>
        <w:rFonts w:cs="Open Sans"/>
        <w:color w:val="404040" w:themeColor="text1" w:themeTint="BF"/>
      </w:rPr>
      <w:t xml:space="preserve"> / </w:t>
    </w:r>
    <w:r w:rsidRPr="00132C9E">
      <w:rPr>
        <w:rFonts w:cs="Open Sans"/>
        <w:color w:val="404040" w:themeColor="text1" w:themeTint="BF"/>
      </w:rPr>
      <w:t xml:space="preserve"> </w:t>
    </w:r>
    <w:r w:rsidRPr="00132C9E">
      <w:rPr>
        <w:rFonts w:cs="Open Sans Semibold"/>
        <w:color w:val="17365D" w:themeColor="text2" w:themeShade="BF"/>
      </w:rPr>
      <w:fldChar w:fldCharType="begin"/>
    </w:r>
    <w:r w:rsidRPr="00132C9E">
      <w:rPr>
        <w:rFonts w:cs="Open Sans Semibold"/>
        <w:color w:val="17365D" w:themeColor="text2" w:themeShade="BF"/>
      </w:rPr>
      <w:instrText xml:space="preserve"> PAGE   \* MERGEFORMAT </w:instrText>
    </w:r>
    <w:r w:rsidRPr="00132C9E">
      <w:rPr>
        <w:rFonts w:cs="Open Sans Semibold"/>
        <w:color w:val="17365D" w:themeColor="text2" w:themeShade="BF"/>
      </w:rPr>
      <w:fldChar w:fldCharType="separate"/>
    </w:r>
    <w:r w:rsidR="00EA0667">
      <w:rPr>
        <w:rFonts w:cs="Open Sans Semibold"/>
        <w:noProof/>
        <w:color w:val="17365D" w:themeColor="text2" w:themeShade="BF"/>
      </w:rPr>
      <w:t>1</w:t>
    </w:r>
    <w:r w:rsidRPr="00132C9E">
      <w:rPr>
        <w:rFonts w:cs="Open Sans Semibold"/>
        <w:color w:val="17365D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D35" w:rsidRDefault="00831D35" w:rsidP="00FD5CEF">
      <w:pPr>
        <w:spacing w:after="0" w:line="240" w:lineRule="auto"/>
      </w:pPr>
      <w:r>
        <w:separator/>
      </w:r>
    </w:p>
  </w:footnote>
  <w:footnote w:type="continuationSeparator" w:id="0">
    <w:p w:rsidR="00831D35" w:rsidRDefault="00831D35" w:rsidP="00FD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5F" w:rsidRDefault="005F1744" w:rsidP="00DF144D">
    <w:pPr>
      <w:pStyle w:val="Header"/>
      <w:tabs>
        <w:tab w:val="clear" w:pos="4680"/>
        <w:tab w:val="clear" w:pos="9360"/>
      </w:tabs>
      <w:ind w:left="-1440" w:right="-720"/>
      <w:rPr>
        <w:rFonts w:ascii="Franklin Gothic Book" w:hAnsi="Franklin Gothic Book" w:cs="Franklin Gothic Book"/>
        <w:b/>
        <w:caps/>
        <w:color w:val="595959" w:themeColor="text1" w:themeTint="A6"/>
        <w:sz w:val="18"/>
        <w:szCs w:val="14"/>
      </w:rPr>
    </w:pPr>
    <w:r>
      <w:rPr>
        <w:rFonts w:ascii="Franklin Gothic Book" w:hAnsi="Franklin Gothic Book" w:cs="Franklin Gothic Book"/>
        <w:b/>
        <w:caps/>
        <w:noProof/>
        <w:color w:val="595959" w:themeColor="text1" w:themeTint="A6"/>
        <w:sz w:val="18"/>
        <w:szCs w:val="14"/>
      </w:rPr>
      <w:t xml:space="preserve">   </w:t>
    </w:r>
    <w:r w:rsidR="00FD4BFD">
      <w:rPr>
        <w:rFonts w:ascii="Franklin Gothic Book" w:hAnsi="Franklin Gothic Book" w:cs="Franklin Gothic Book"/>
        <w:b/>
        <w:caps/>
        <w:noProof/>
        <w:color w:val="595959" w:themeColor="text1" w:themeTint="A6"/>
        <w:sz w:val="18"/>
        <w:szCs w:val="14"/>
      </w:rPr>
      <w:drawing>
        <wp:inline distT="0" distB="0" distL="0" distR="0">
          <wp:extent cx="7772400" cy="1261354"/>
          <wp:effectExtent l="0" t="0" r="0" b="0"/>
          <wp:docPr id="3" name="Picture 3" descr="&quot;Idaho State Department of Education - Sherri Ybarra, ED.S. Superintendent of Public Instruction - 650 W. State Street, 2nd Floor, Boise, Idaho 83702 - 208 332 6800 www.sde.idaho.gov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essible-letterhead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61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AD1"/>
    <w:multiLevelType w:val="hybridMultilevel"/>
    <w:tmpl w:val="D31C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AAC"/>
    <w:multiLevelType w:val="multilevel"/>
    <w:tmpl w:val="C1B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7AEF"/>
    <w:multiLevelType w:val="multilevel"/>
    <w:tmpl w:val="8E9ECCE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pStyle w:val="HeadingListStyle"/>
      <w:lvlText w:val="%2."/>
      <w:lvlJc w:val="left"/>
      <w:pPr>
        <w:ind w:left="1440" w:hanging="360"/>
      </w:pPr>
      <w:rPr>
        <w:rFonts w:ascii="Calibri" w:hAnsi="Calibri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  <w:i w:val="0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rFonts w:ascii="Calibri" w:hAnsi="Calibri" w:hint="default"/>
        <w:strike w:val="0"/>
        <w:color w:val="000000" w:themeColor="text1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b w:val="0"/>
        <w:sz w:val="24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4A442A" w:themeColor="background2" w:themeShade="4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8411F1A"/>
    <w:multiLevelType w:val="multilevel"/>
    <w:tmpl w:val="C92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7662B"/>
    <w:multiLevelType w:val="hybridMultilevel"/>
    <w:tmpl w:val="87762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75AD0"/>
    <w:multiLevelType w:val="multilevel"/>
    <w:tmpl w:val="3EBE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F6B24"/>
    <w:multiLevelType w:val="multilevel"/>
    <w:tmpl w:val="1D08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D32E9"/>
    <w:multiLevelType w:val="multilevel"/>
    <w:tmpl w:val="98BA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3D3063"/>
    <w:multiLevelType w:val="hybridMultilevel"/>
    <w:tmpl w:val="F67C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6A88"/>
    <w:multiLevelType w:val="hybridMultilevel"/>
    <w:tmpl w:val="9878A96E"/>
    <w:lvl w:ilvl="0" w:tplc="45A650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4077"/>
    <w:multiLevelType w:val="hybridMultilevel"/>
    <w:tmpl w:val="265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25308F"/>
    <w:multiLevelType w:val="hybridMultilevel"/>
    <w:tmpl w:val="1606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825E0"/>
    <w:multiLevelType w:val="multilevel"/>
    <w:tmpl w:val="5D54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D569A"/>
    <w:multiLevelType w:val="multilevel"/>
    <w:tmpl w:val="22D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F0501E"/>
    <w:multiLevelType w:val="hybridMultilevel"/>
    <w:tmpl w:val="DD883FF4"/>
    <w:lvl w:ilvl="0" w:tplc="E77E75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B2742"/>
    <w:multiLevelType w:val="multilevel"/>
    <w:tmpl w:val="6C60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04F01"/>
    <w:multiLevelType w:val="hybridMultilevel"/>
    <w:tmpl w:val="5DA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36A2"/>
    <w:multiLevelType w:val="hybridMultilevel"/>
    <w:tmpl w:val="63E0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5401"/>
    <w:multiLevelType w:val="hybridMultilevel"/>
    <w:tmpl w:val="F454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734D"/>
    <w:multiLevelType w:val="multilevel"/>
    <w:tmpl w:val="557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097A8F"/>
    <w:multiLevelType w:val="hybridMultilevel"/>
    <w:tmpl w:val="DD883FF4"/>
    <w:lvl w:ilvl="0" w:tplc="E77E75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45D8F"/>
    <w:multiLevelType w:val="multilevel"/>
    <w:tmpl w:val="F66C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6B3A5A"/>
    <w:multiLevelType w:val="hybridMultilevel"/>
    <w:tmpl w:val="8C64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16B88"/>
    <w:multiLevelType w:val="multilevel"/>
    <w:tmpl w:val="2A1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D463EE"/>
    <w:multiLevelType w:val="multilevel"/>
    <w:tmpl w:val="E474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E36BDB"/>
    <w:multiLevelType w:val="hybridMultilevel"/>
    <w:tmpl w:val="DD883FF4"/>
    <w:lvl w:ilvl="0" w:tplc="E77E75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3179B"/>
    <w:multiLevelType w:val="multilevel"/>
    <w:tmpl w:val="AF14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997635"/>
    <w:multiLevelType w:val="hybridMultilevel"/>
    <w:tmpl w:val="19B6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C042A"/>
    <w:multiLevelType w:val="multilevel"/>
    <w:tmpl w:val="EF4A7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73A5477F"/>
    <w:multiLevelType w:val="multilevel"/>
    <w:tmpl w:val="2592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16"/>
  </w:num>
  <w:num w:numId="4">
    <w:abstractNumId w:val="24"/>
  </w:num>
  <w:num w:numId="5">
    <w:abstractNumId w:val="21"/>
  </w:num>
  <w:num w:numId="6">
    <w:abstractNumId w:val="20"/>
  </w:num>
  <w:num w:numId="7">
    <w:abstractNumId w:val="22"/>
  </w:num>
  <w:num w:numId="8">
    <w:abstractNumId w:val="11"/>
  </w:num>
  <w:num w:numId="9">
    <w:abstractNumId w:val="7"/>
  </w:num>
  <w:num w:numId="10">
    <w:abstractNumId w:val="28"/>
  </w:num>
  <w:num w:numId="11">
    <w:abstractNumId w:val="2"/>
  </w:num>
  <w:num w:numId="12">
    <w:abstractNumId w:val="30"/>
  </w:num>
  <w:num w:numId="13">
    <w:abstractNumId w:val="33"/>
  </w:num>
  <w:num w:numId="14">
    <w:abstractNumId w:val="14"/>
  </w:num>
  <w:num w:numId="15">
    <w:abstractNumId w:val="1"/>
  </w:num>
  <w:num w:numId="16">
    <w:abstractNumId w:val="17"/>
  </w:num>
  <w:num w:numId="17">
    <w:abstractNumId w:val="8"/>
  </w:num>
  <w:num w:numId="18">
    <w:abstractNumId w:val="4"/>
  </w:num>
  <w:num w:numId="19">
    <w:abstractNumId w:val="6"/>
  </w:num>
  <w:num w:numId="20">
    <w:abstractNumId w:val="27"/>
  </w:num>
  <w:num w:numId="21">
    <w:abstractNumId w:val="9"/>
  </w:num>
  <w:num w:numId="22">
    <w:abstractNumId w:val="13"/>
  </w:num>
  <w:num w:numId="23">
    <w:abstractNumId w:val="34"/>
  </w:num>
  <w:num w:numId="24">
    <w:abstractNumId w:val="18"/>
  </w:num>
  <w:num w:numId="25">
    <w:abstractNumId w:val="25"/>
  </w:num>
  <w:num w:numId="26">
    <w:abstractNumId w:val="23"/>
  </w:num>
  <w:num w:numId="27">
    <w:abstractNumId w:val="31"/>
  </w:num>
  <w:num w:numId="28">
    <w:abstractNumId w:val="15"/>
  </w:num>
  <w:num w:numId="29">
    <w:abstractNumId w:val="12"/>
  </w:num>
  <w:num w:numId="30">
    <w:abstractNumId w:val="5"/>
  </w:num>
  <w:num w:numId="31">
    <w:abstractNumId w:val="19"/>
  </w:num>
  <w:num w:numId="32">
    <w:abstractNumId w:val="10"/>
  </w:num>
  <w:num w:numId="33">
    <w:abstractNumId w:val="32"/>
  </w:num>
  <w:num w:numId="34">
    <w:abstractNumId w:val="26"/>
  </w:num>
  <w:num w:numId="35">
    <w:abstractNumId w:val="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D4"/>
    <w:rsid w:val="00011E82"/>
    <w:rsid w:val="0001221F"/>
    <w:rsid w:val="00032B74"/>
    <w:rsid w:val="00094EF8"/>
    <w:rsid w:val="000A681E"/>
    <w:rsid w:val="000C5C54"/>
    <w:rsid w:val="000D50B6"/>
    <w:rsid w:val="00103A7B"/>
    <w:rsid w:val="00145DCD"/>
    <w:rsid w:val="00157EC1"/>
    <w:rsid w:val="0016368D"/>
    <w:rsid w:val="00165E84"/>
    <w:rsid w:val="00194666"/>
    <w:rsid w:val="001C6AC6"/>
    <w:rsid w:val="001F05E3"/>
    <w:rsid w:val="00240683"/>
    <w:rsid w:val="00250E19"/>
    <w:rsid w:val="00251178"/>
    <w:rsid w:val="00260F9F"/>
    <w:rsid w:val="002767E2"/>
    <w:rsid w:val="002C02EF"/>
    <w:rsid w:val="00326A5F"/>
    <w:rsid w:val="00332886"/>
    <w:rsid w:val="00347488"/>
    <w:rsid w:val="00362B21"/>
    <w:rsid w:val="00391389"/>
    <w:rsid w:val="00397A29"/>
    <w:rsid w:val="003B4294"/>
    <w:rsid w:val="003C05BB"/>
    <w:rsid w:val="003C09DD"/>
    <w:rsid w:val="003C6026"/>
    <w:rsid w:val="003C7CD8"/>
    <w:rsid w:val="004031BC"/>
    <w:rsid w:val="00411E19"/>
    <w:rsid w:val="00433E28"/>
    <w:rsid w:val="0045740B"/>
    <w:rsid w:val="004B19DF"/>
    <w:rsid w:val="004C0A06"/>
    <w:rsid w:val="00517511"/>
    <w:rsid w:val="005663AF"/>
    <w:rsid w:val="005C15FF"/>
    <w:rsid w:val="005D42D3"/>
    <w:rsid w:val="005E6442"/>
    <w:rsid w:val="005F1744"/>
    <w:rsid w:val="00622067"/>
    <w:rsid w:val="00645BD8"/>
    <w:rsid w:val="00652CF5"/>
    <w:rsid w:val="006648D1"/>
    <w:rsid w:val="006A0E13"/>
    <w:rsid w:val="006A3259"/>
    <w:rsid w:val="006B2B91"/>
    <w:rsid w:val="006C35A7"/>
    <w:rsid w:val="006D4F4B"/>
    <w:rsid w:val="006F2778"/>
    <w:rsid w:val="00705B14"/>
    <w:rsid w:val="00705D35"/>
    <w:rsid w:val="00706692"/>
    <w:rsid w:val="00744C68"/>
    <w:rsid w:val="0074729B"/>
    <w:rsid w:val="00762D3C"/>
    <w:rsid w:val="007758E9"/>
    <w:rsid w:val="00795ED4"/>
    <w:rsid w:val="007A4F68"/>
    <w:rsid w:val="00831D35"/>
    <w:rsid w:val="008369C5"/>
    <w:rsid w:val="0085597F"/>
    <w:rsid w:val="00874297"/>
    <w:rsid w:val="00896393"/>
    <w:rsid w:val="008A112C"/>
    <w:rsid w:val="008B3E49"/>
    <w:rsid w:val="008B6475"/>
    <w:rsid w:val="008D4A8E"/>
    <w:rsid w:val="008D5925"/>
    <w:rsid w:val="008E489C"/>
    <w:rsid w:val="00905376"/>
    <w:rsid w:val="00917921"/>
    <w:rsid w:val="0093545D"/>
    <w:rsid w:val="00941C55"/>
    <w:rsid w:val="0096005F"/>
    <w:rsid w:val="009744D7"/>
    <w:rsid w:val="00987F3A"/>
    <w:rsid w:val="009C0BB1"/>
    <w:rsid w:val="009C7ADB"/>
    <w:rsid w:val="009D4EE4"/>
    <w:rsid w:val="009D6531"/>
    <w:rsid w:val="00A02E29"/>
    <w:rsid w:val="00A05904"/>
    <w:rsid w:val="00A06CF8"/>
    <w:rsid w:val="00A157E0"/>
    <w:rsid w:val="00A1768F"/>
    <w:rsid w:val="00A63872"/>
    <w:rsid w:val="00A67326"/>
    <w:rsid w:val="00A77698"/>
    <w:rsid w:val="00A81F37"/>
    <w:rsid w:val="00A929DD"/>
    <w:rsid w:val="00AB5624"/>
    <w:rsid w:val="00AC05B4"/>
    <w:rsid w:val="00AE7519"/>
    <w:rsid w:val="00B10450"/>
    <w:rsid w:val="00BC2035"/>
    <w:rsid w:val="00BD0012"/>
    <w:rsid w:val="00BE327D"/>
    <w:rsid w:val="00C02218"/>
    <w:rsid w:val="00C03642"/>
    <w:rsid w:val="00C11ABE"/>
    <w:rsid w:val="00C42422"/>
    <w:rsid w:val="00C44C47"/>
    <w:rsid w:val="00C61AFE"/>
    <w:rsid w:val="00C676CA"/>
    <w:rsid w:val="00C76A19"/>
    <w:rsid w:val="00C9234E"/>
    <w:rsid w:val="00CA7C06"/>
    <w:rsid w:val="00D05814"/>
    <w:rsid w:val="00D25D78"/>
    <w:rsid w:val="00D46601"/>
    <w:rsid w:val="00DC1033"/>
    <w:rsid w:val="00DC257A"/>
    <w:rsid w:val="00DD3BD3"/>
    <w:rsid w:val="00DE483E"/>
    <w:rsid w:val="00DF144D"/>
    <w:rsid w:val="00DF4F79"/>
    <w:rsid w:val="00E04BA1"/>
    <w:rsid w:val="00E65B39"/>
    <w:rsid w:val="00E677C0"/>
    <w:rsid w:val="00EA0667"/>
    <w:rsid w:val="00EB4CF5"/>
    <w:rsid w:val="00EC2A75"/>
    <w:rsid w:val="00EC7BD8"/>
    <w:rsid w:val="00ED1E07"/>
    <w:rsid w:val="00ED5085"/>
    <w:rsid w:val="00EF576E"/>
    <w:rsid w:val="00F12B6A"/>
    <w:rsid w:val="00F258F9"/>
    <w:rsid w:val="00F33C28"/>
    <w:rsid w:val="00F41B62"/>
    <w:rsid w:val="00F42456"/>
    <w:rsid w:val="00F85E7E"/>
    <w:rsid w:val="00F869F0"/>
    <w:rsid w:val="00FD4BFD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2C2A3-1234-443F-B5DD-F240511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624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40B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40B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40B"/>
    <w:pPr>
      <w:keepNext/>
      <w:keepLines/>
      <w:spacing w:before="200" w:after="0" w:line="240" w:lineRule="auto"/>
      <w:outlineLvl w:val="2"/>
    </w:pPr>
    <w:rPr>
      <w:rFonts w:asciiTheme="minorHAnsi" w:eastAsia="Times New Roman" w:hAnsiTheme="min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40B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EF"/>
  </w:style>
  <w:style w:type="paragraph" w:styleId="Footer">
    <w:name w:val="footer"/>
    <w:basedOn w:val="Normal"/>
    <w:link w:val="FooterChar"/>
    <w:uiPriority w:val="99"/>
    <w:unhideWhenUsed/>
    <w:rsid w:val="00FD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EF"/>
  </w:style>
  <w:style w:type="paragraph" w:styleId="BalloonText">
    <w:name w:val="Balloon Text"/>
    <w:basedOn w:val="Normal"/>
    <w:link w:val="BalloonTextChar"/>
    <w:uiPriority w:val="99"/>
    <w:semiHidden/>
    <w:unhideWhenUsed/>
    <w:rsid w:val="00FD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C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5740B"/>
    <w:rPr>
      <w:rFonts w:asciiTheme="minorHAnsi" w:eastAsia="Times New Roman" w:hAnsiTheme="minorHAnsi"/>
      <w:b/>
      <w:bC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40B"/>
    <w:rPr>
      <w:rFonts w:asciiTheme="minorHAnsi" w:eastAsia="Times New Roman" w:hAnsiTheme="minorHAnsi"/>
      <w:b/>
      <w:bCs/>
      <w:color w:val="4F81BD"/>
      <w:sz w:val="24"/>
      <w:szCs w:val="22"/>
    </w:rPr>
  </w:style>
  <w:style w:type="character" w:styleId="Hyperlink">
    <w:name w:val="Hyperlink"/>
    <w:uiPriority w:val="99"/>
    <w:unhideWhenUsed/>
    <w:rsid w:val="0091792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79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921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91792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921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917921"/>
    <w:pPr>
      <w:spacing w:after="0" w:line="240" w:lineRule="auto"/>
      <w:ind w:left="720"/>
    </w:pPr>
  </w:style>
  <w:style w:type="character" w:customStyle="1" w:styleId="apple-converted-space">
    <w:name w:val="apple-converted-space"/>
    <w:rsid w:val="00917921"/>
  </w:style>
  <w:style w:type="character" w:styleId="Strong">
    <w:name w:val="Strong"/>
    <w:uiPriority w:val="22"/>
    <w:qFormat/>
    <w:rsid w:val="00917921"/>
    <w:rPr>
      <w:b/>
      <w:bCs/>
    </w:rPr>
  </w:style>
  <w:style w:type="character" w:styleId="Emphasis">
    <w:name w:val="Emphasis"/>
    <w:uiPriority w:val="20"/>
    <w:qFormat/>
    <w:rsid w:val="009179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D0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40B"/>
    <w:rPr>
      <w:rFonts w:eastAsiaTheme="majorEastAsia" w:cstheme="majorBidi"/>
      <w:b/>
      <w:bCs/>
      <w:caps/>
      <w:color w:val="17365D" w:themeColor="text2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F4B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4F4B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D4F4B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D4F4B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IntenseEmphasis">
    <w:name w:val="Intense Emphasis"/>
    <w:basedOn w:val="DefaultParagraphFont"/>
    <w:uiPriority w:val="21"/>
    <w:qFormat/>
    <w:rsid w:val="00C42422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42422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2C02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4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04040" w:themeColor="text1" w:themeTint="BF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740B"/>
    <w:rPr>
      <w:rFonts w:asciiTheme="minorHAnsi" w:eastAsiaTheme="minorEastAsia" w:hAnsiTheme="minorHAnsi" w:cstheme="minorBidi"/>
      <w:color w:val="404040" w:themeColor="text1" w:themeTint="BF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40B"/>
    <w:rPr>
      <w:rFonts w:asciiTheme="minorHAnsi" w:eastAsiaTheme="majorEastAsia" w:hAnsiTheme="minorHAnsi" w:cstheme="majorBidi"/>
      <w:i/>
      <w:iCs/>
      <w:color w:val="365F91" w:themeColor="accent1" w:themeShade="BF"/>
      <w:sz w:val="24"/>
      <w:szCs w:val="22"/>
    </w:rPr>
  </w:style>
  <w:style w:type="table" w:customStyle="1" w:styleId="ProposalTable">
    <w:name w:val="Proposal Table"/>
    <w:basedOn w:val="TableNormal"/>
    <w:uiPriority w:val="99"/>
    <w:rsid w:val="00194666"/>
    <w:pPr>
      <w:spacing w:before="120" w:after="120"/>
    </w:pPr>
    <w:rPr>
      <w:rFonts w:asciiTheme="minorHAnsi" w:eastAsiaTheme="minorHAnsi" w:hAnsiTheme="minorHAnsi" w:cstheme="minorBidi"/>
      <w:color w:val="404040" w:themeColor="text1" w:themeTint="BF"/>
      <w:sz w:val="18"/>
      <w:szCs w:val="18"/>
      <w:lang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customStyle="1" w:styleId="HeadingListStyle">
    <w:name w:val="Heading List Style"/>
    <w:basedOn w:val="Normal"/>
    <w:link w:val="HeadingListStyleChar"/>
    <w:qFormat/>
    <w:rsid w:val="00194666"/>
    <w:pPr>
      <w:numPr>
        <w:ilvl w:val="1"/>
        <w:numId w:val="36"/>
      </w:numPr>
      <w:spacing w:after="0" w:line="240" w:lineRule="auto"/>
    </w:pPr>
    <w:rPr>
      <w:rFonts w:eastAsiaTheme="minorHAnsi" w:cstheme="minorBidi"/>
      <w:color w:val="262626" w:themeColor="text1" w:themeTint="D9"/>
      <w:szCs w:val="18"/>
      <w:lang w:eastAsia="ja-JP"/>
    </w:rPr>
  </w:style>
  <w:style w:type="character" w:customStyle="1" w:styleId="HeadingListStyleChar">
    <w:name w:val="Heading List Style Char"/>
    <w:basedOn w:val="DefaultParagraphFont"/>
    <w:link w:val="HeadingListStyle"/>
    <w:rsid w:val="00194666"/>
    <w:rPr>
      <w:rFonts w:eastAsiaTheme="minorHAnsi" w:cstheme="minorBidi"/>
      <w:color w:val="262626" w:themeColor="text1" w:themeTint="D9"/>
      <w:sz w:val="24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385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  <w:divsChild>
            <w:div w:id="1630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8B7F-8124-4B05-9FC5-4AC9A299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State Department of Education Letterhead</vt:lpstr>
    </vt:vector>
  </TitlesOfParts>
  <Company>Idaho State Department of Education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State Department of Education Letterhead</dc:title>
  <dc:subject>Letterhead Template</dc:subject>
  <dc:creator>State Department of Education</dc:creator>
  <cp:keywords/>
  <cp:lastModifiedBy>Karlynn Laraway</cp:lastModifiedBy>
  <cp:revision>2</cp:revision>
  <cp:lastPrinted>2019-04-08T21:08:00Z</cp:lastPrinted>
  <dcterms:created xsi:type="dcterms:W3CDTF">2020-02-07T05:28:00Z</dcterms:created>
  <dcterms:modified xsi:type="dcterms:W3CDTF">2020-02-07T05:28:00Z</dcterms:modified>
</cp:coreProperties>
</file>